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 ContentType="application/msword"/>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MON_1590390884"/>
    <w:bookmarkEnd w:id="0"/>
    <w:p w14:paraId="4B544F48" w14:textId="0B5C5AE7" w:rsidR="009249F5" w:rsidRDefault="0036521F" w:rsidP="00220174">
      <w:pPr>
        <w:jc w:val="right"/>
        <w:rPr>
          <w:b/>
          <w:sz w:val="28"/>
        </w:rPr>
      </w:pPr>
      <w:r w:rsidRPr="00135E46">
        <w:rPr>
          <w:b/>
          <w:sz w:val="28"/>
        </w:rPr>
        <w:object w:dxaOrig="9003" w:dyaOrig="12519" w14:anchorId="1875D763">
          <v:shape id="_x0000_i1029" type="#_x0000_t75" style="width:450.3pt;height:626.1pt" o:ole="">
            <v:imagedata r:id="rId8" o:title=""/>
          </v:shape>
          <o:OLEObject Type="Embed" ProgID="Word.Document.8" ShapeID="_x0000_i1029" DrawAspect="Content" ObjectID="_1622002481" r:id="rId9">
            <o:FieldCodes>\s</o:FieldCodes>
          </o:OLEObject>
        </w:object>
      </w:r>
    </w:p>
    <w:p w14:paraId="7C72587E" w14:textId="77777777" w:rsidR="00ED78A6" w:rsidRDefault="00ED78A6">
      <w:pPr>
        <w:rPr>
          <w:b/>
          <w:sz w:val="28"/>
        </w:rPr>
        <w:sectPr w:rsidR="00ED78A6" w:rsidSect="00ED78A6">
          <w:headerReference w:type="default" r:id="rId10"/>
          <w:footerReference w:type="default" r:id="rId11"/>
          <w:pgSz w:w="12240" w:h="15840"/>
          <w:pgMar w:top="1440" w:right="1440" w:bottom="1440" w:left="1440" w:header="720" w:footer="720" w:gutter="0"/>
          <w:cols w:space="720"/>
          <w:titlePg/>
          <w:docGrid w:linePitch="360"/>
        </w:sectPr>
      </w:pPr>
      <w:bookmarkStart w:id="1" w:name="_GoBack"/>
      <w:bookmarkEnd w:id="1"/>
    </w:p>
    <w:p w14:paraId="49B9C3B9" w14:textId="77777777" w:rsidR="009249F5" w:rsidRDefault="009249F5">
      <w:pPr>
        <w:rPr>
          <w:b/>
          <w:sz w:val="28"/>
        </w:rPr>
      </w:pPr>
    </w:p>
    <w:p w14:paraId="7696640C" w14:textId="77777777" w:rsidR="00950C16" w:rsidRDefault="00886075" w:rsidP="003469FD">
      <w:pPr>
        <w:jc w:val="center"/>
        <w:rPr>
          <w:b/>
          <w:sz w:val="28"/>
        </w:rPr>
      </w:pPr>
      <w:r>
        <w:rPr>
          <w:noProof/>
        </w:rPr>
        <w:drawing>
          <wp:inline distT="0" distB="0" distL="0" distR="0" wp14:anchorId="7BD4B05A" wp14:editId="297E6029">
            <wp:extent cx="5939790" cy="775335"/>
            <wp:effectExtent l="0" t="0" r="3810" b="5715"/>
            <wp:docPr id="1" name="Picture 1" descr="C:\Users\jechevarria\Desktop\NPCC Logo\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echevarria\Desktop\NPCC Logo\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39790" cy="775335"/>
                    </a:xfrm>
                    <a:prstGeom prst="rect">
                      <a:avLst/>
                    </a:prstGeom>
                    <a:noFill/>
                    <a:ln>
                      <a:noFill/>
                    </a:ln>
                  </pic:spPr>
                </pic:pic>
              </a:graphicData>
            </a:graphic>
          </wp:inline>
        </w:drawing>
      </w:r>
    </w:p>
    <w:p w14:paraId="02892A62" w14:textId="77777777" w:rsidR="00886075" w:rsidRDefault="00886075" w:rsidP="003469FD">
      <w:pPr>
        <w:jc w:val="center"/>
        <w:rPr>
          <w:b/>
          <w:sz w:val="32"/>
          <w:szCs w:val="32"/>
        </w:rPr>
      </w:pPr>
    </w:p>
    <w:bookmarkStart w:id="2" w:name="_Toc516650262" w:displacedByCustomXml="next"/>
    <w:sdt>
      <w:sdtPr>
        <w:rPr>
          <w:rFonts w:asciiTheme="minorHAnsi" w:eastAsiaTheme="minorHAnsi" w:hAnsiTheme="minorHAnsi" w:cstheme="minorBidi"/>
          <w:color w:val="auto"/>
          <w:sz w:val="22"/>
          <w:szCs w:val="22"/>
        </w:rPr>
        <w:id w:val="-1637331884"/>
        <w:docPartObj>
          <w:docPartGallery w:val="Table of Contents"/>
          <w:docPartUnique/>
        </w:docPartObj>
      </w:sdtPr>
      <w:sdtEndPr>
        <w:rPr>
          <w:b/>
          <w:bCs/>
          <w:noProof/>
        </w:rPr>
      </w:sdtEndPr>
      <w:sdtContent>
        <w:p w14:paraId="632B9531" w14:textId="77777777" w:rsidR="00EF714D" w:rsidRDefault="00EF714D">
          <w:pPr>
            <w:pStyle w:val="TOCHeading"/>
          </w:pPr>
          <w:r>
            <w:t>Contents</w:t>
          </w:r>
        </w:p>
        <w:p w14:paraId="1A075D5C" w14:textId="77777777" w:rsidR="005A4E0C" w:rsidRDefault="00EF714D">
          <w:pPr>
            <w:pStyle w:val="TOC1"/>
            <w:tabs>
              <w:tab w:val="right" w:leader="dot" w:pos="9350"/>
            </w:tabs>
            <w:rPr>
              <w:rFonts w:eastAsiaTheme="minorEastAsia"/>
              <w:noProof/>
            </w:rPr>
          </w:pPr>
          <w:r>
            <w:fldChar w:fldCharType="begin"/>
          </w:r>
          <w:r>
            <w:instrText xml:space="preserve"> TOC \o "1-3" \h \z \u </w:instrText>
          </w:r>
          <w:r>
            <w:fldChar w:fldCharType="separate"/>
          </w:r>
          <w:hyperlink w:anchor="_Toc10106970" w:history="1">
            <w:r w:rsidR="005A4E0C" w:rsidRPr="001A0566">
              <w:rPr>
                <w:rStyle w:val="Hyperlink"/>
                <w:noProof/>
              </w:rPr>
              <w:t>Executive Summary</w:t>
            </w:r>
            <w:r w:rsidR="005A4E0C">
              <w:rPr>
                <w:noProof/>
                <w:webHidden/>
              </w:rPr>
              <w:tab/>
            </w:r>
            <w:r w:rsidR="005A4E0C">
              <w:rPr>
                <w:noProof/>
                <w:webHidden/>
              </w:rPr>
              <w:fldChar w:fldCharType="begin"/>
            </w:r>
            <w:r w:rsidR="005A4E0C">
              <w:rPr>
                <w:noProof/>
                <w:webHidden/>
              </w:rPr>
              <w:instrText xml:space="preserve"> PAGEREF _Toc10106970 \h </w:instrText>
            </w:r>
            <w:r w:rsidR="005A4E0C">
              <w:rPr>
                <w:noProof/>
                <w:webHidden/>
              </w:rPr>
            </w:r>
            <w:r w:rsidR="005A4E0C">
              <w:rPr>
                <w:noProof/>
                <w:webHidden/>
              </w:rPr>
              <w:fldChar w:fldCharType="separate"/>
            </w:r>
            <w:r w:rsidR="00746F8C">
              <w:rPr>
                <w:noProof/>
                <w:webHidden/>
              </w:rPr>
              <w:t>3</w:t>
            </w:r>
            <w:r w:rsidR="005A4E0C">
              <w:rPr>
                <w:noProof/>
                <w:webHidden/>
              </w:rPr>
              <w:fldChar w:fldCharType="end"/>
            </w:r>
          </w:hyperlink>
        </w:p>
        <w:p w14:paraId="279553C3" w14:textId="77777777" w:rsidR="005A4E0C" w:rsidRDefault="00F24DDC">
          <w:pPr>
            <w:pStyle w:val="TOC1"/>
            <w:tabs>
              <w:tab w:val="right" w:leader="dot" w:pos="9350"/>
            </w:tabs>
            <w:rPr>
              <w:rFonts w:eastAsiaTheme="minorEastAsia"/>
              <w:noProof/>
            </w:rPr>
          </w:pPr>
          <w:hyperlink w:anchor="_Toc10106971" w:history="1">
            <w:r w:rsidR="005A4E0C" w:rsidRPr="001A0566">
              <w:rPr>
                <w:rStyle w:val="Hyperlink"/>
                <w:noProof/>
              </w:rPr>
              <w:t>Introduction and Objective</w:t>
            </w:r>
            <w:r w:rsidR="005A4E0C">
              <w:rPr>
                <w:noProof/>
                <w:webHidden/>
              </w:rPr>
              <w:tab/>
            </w:r>
            <w:r w:rsidR="005A4E0C">
              <w:rPr>
                <w:noProof/>
                <w:webHidden/>
              </w:rPr>
              <w:fldChar w:fldCharType="begin"/>
            </w:r>
            <w:r w:rsidR="005A4E0C">
              <w:rPr>
                <w:noProof/>
                <w:webHidden/>
              </w:rPr>
              <w:instrText xml:space="preserve"> PAGEREF _Toc10106971 \h </w:instrText>
            </w:r>
            <w:r w:rsidR="005A4E0C">
              <w:rPr>
                <w:noProof/>
                <w:webHidden/>
              </w:rPr>
            </w:r>
            <w:r w:rsidR="005A4E0C">
              <w:rPr>
                <w:noProof/>
                <w:webHidden/>
              </w:rPr>
              <w:fldChar w:fldCharType="separate"/>
            </w:r>
            <w:r w:rsidR="00746F8C">
              <w:rPr>
                <w:noProof/>
                <w:webHidden/>
              </w:rPr>
              <w:t>3</w:t>
            </w:r>
            <w:r w:rsidR="005A4E0C">
              <w:rPr>
                <w:noProof/>
                <w:webHidden/>
              </w:rPr>
              <w:fldChar w:fldCharType="end"/>
            </w:r>
          </w:hyperlink>
        </w:p>
        <w:p w14:paraId="26BB224E" w14:textId="77777777" w:rsidR="005A4E0C" w:rsidRDefault="00F24DDC">
          <w:pPr>
            <w:pStyle w:val="TOC1"/>
            <w:tabs>
              <w:tab w:val="right" w:leader="dot" w:pos="9350"/>
            </w:tabs>
            <w:rPr>
              <w:rFonts w:eastAsiaTheme="minorEastAsia"/>
              <w:noProof/>
            </w:rPr>
          </w:pPr>
          <w:hyperlink w:anchor="_Toc10106972" w:history="1">
            <w:r w:rsidR="005A4E0C" w:rsidRPr="001A0566">
              <w:rPr>
                <w:rStyle w:val="Hyperlink"/>
                <w:noProof/>
              </w:rPr>
              <w:t>NPCC Reliability Principles</w:t>
            </w:r>
            <w:r w:rsidR="005A4E0C">
              <w:rPr>
                <w:noProof/>
                <w:webHidden/>
              </w:rPr>
              <w:tab/>
            </w:r>
            <w:r w:rsidR="005A4E0C">
              <w:rPr>
                <w:noProof/>
                <w:webHidden/>
              </w:rPr>
              <w:fldChar w:fldCharType="begin"/>
            </w:r>
            <w:r w:rsidR="005A4E0C">
              <w:rPr>
                <w:noProof/>
                <w:webHidden/>
              </w:rPr>
              <w:instrText xml:space="preserve"> PAGEREF _Toc10106972 \h </w:instrText>
            </w:r>
            <w:r w:rsidR="005A4E0C">
              <w:rPr>
                <w:noProof/>
                <w:webHidden/>
              </w:rPr>
            </w:r>
            <w:r w:rsidR="005A4E0C">
              <w:rPr>
                <w:noProof/>
                <w:webHidden/>
              </w:rPr>
              <w:fldChar w:fldCharType="separate"/>
            </w:r>
            <w:r w:rsidR="00746F8C">
              <w:rPr>
                <w:noProof/>
                <w:webHidden/>
              </w:rPr>
              <w:t>4</w:t>
            </w:r>
            <w:r w:rsidR="005A4E0C">
              <w:rPr>
                <w:noProof/>
                <w:webHidden/>
              </w:rPr>
              <w:fldChar w:fldCharType="end"/>
            </w:r>
          </w:hyperlink>
        </w:p>
        <w:p w14:paraId="741FC23B" w14:textId="77777777" w:rsidR="005A4E0C" w:rsidRDefault="00F24DDC">
          <w:pPr>
            <w:pStyle w:val="TOC1"/>
            <w:tabs>
              <w:tab w:val="right" w:leader="dot" w:pos="9350"/>
            </w:tabs>
            <w:rPr>
              <w:rFonts w:eastAsiaTheme="minorEastAsia"/>
              <w:noProof/>
            </w:rPr>
          </w:pPr>
          <w:hyperlink w:anchor="_Toc10106973" w:history="1">
            <w:r w:rsidR="005A4E0C" w:rsidRPr="001A0566">
              <w:rPr>
                <w:rStyle w:val="Hyperlink"/>
                <w:noProof/>
              </w:rPr>
              <w:t>NPCC DER Impact Reporting</w:t>
            </w:r>
            <w:r w:rsidR="005A4E0C">
              <w:rPr>
                <w:noProof/>
                <w:webHidden/>
              </w:rPr>
              <w:tab/>
            </w:r>
            <w:r w:rsidR="005A4E0C">
              <w:rPr>
                <w:noProof/>
                <w:webHidden/>
              </w:rPr>
              <w:fldChar w:fldCharType="begin"/>
            </w:r>
            <w:r w:rsidR="005A4E0C">
              <w:rPr>
                <w:noProof/>
                <w:webHidden/>
              </w:rPr>
              <w:instrText xml:space="preserve"> PAGEREF _Toc10106973 \h </w:instrText>
            </w:r>
            <w:r w:rsidR="005A4E0C">
              <w:rPr>
                <w:noProof/>
                <w:webHidden/>
              </w:rPr>
            </w:r>
            <w:r w:rsidR="005A4E0C">
              <w:rPr>
                <w:noProof/>
                <w:webHidden/>
              </w:rPr>
              <w:fldChar w:fldCharType="separate"/>
            </w:r>
            <w:r w:rsidR="00746F8C">
              <w:rPr>
                <w:noProof/>
                <w:webHidden/>
              </w:rPr>
              <w:t>7</w:t>
            </w:r>
            <w:r w:rsidR="005A4E0C">
              <w:rPr>
                <w:noProof/>
                <w:webHidden/>
              </w:rPr>
              <w:fldChar w:fldCharType="end"/>
            </w:r>
          </w:hyperlink>
        </w:p>
        <w:p w14:paraId="016B3E9C" w14:textId="77777777" w:rsidR="005A4E0C" w:rsidRDefault="00F24DDC">
          <w:pPr>
            <w:pStyle w:val="TOC1"/>
            <w:tabs>
              <w:tab w:val="right" w:leader="dot" w:pos="9350"/>
            </w:tabs>
            <w:rPr>
              <w:rFonts w:eastAsiaTheme="minorEastAsia"/>
              <w:noProof/>
            </w:rPr>
          </w:pPr>
          <w:hyperlink w:anchor="_Toc10106974" w:history="1">
            <w:r w:rsidR="005A4E0C" w:rsidRPr="001A0566">
              <w:rPr>
                <w:rStyle w:val="Hyperlink"/>
                <w:noProof/>
              </w:rPr>
              <w:t>DER BES Impact Considerations</w:t>
            </w:r>
            <w:r w:rsidR="005A4E0C">
              <w:rPr>
                <w:noProof/>
                <w:webHidden/>
              </w:rPr>
              <w:tab/>
            </w:r>
            <w:r w:rsidR="005A4E0C">
              <w:rPr>
                <w:noProof/>
                <w:webHidden/>
              </w:rPr>
              <w:fldChar w:fldCharType="begin"/>
            </w:r>
            <w:r w:rsidR="005A4E0C">
              <w:rPr>
                <w:noProof/>
                <w:webHidden/>
              </w:rPr>
              <w:instrText xml:space="preserve"> PAGEREF _Toc10106974 \h </w:instrText>
            </w:r>
            <w:r w:rsidR="005A4E0C">
              <w:rPr>
                <w:noProof/>
                <w:webHidden/>
              </w:rPr>
            </w:r>
            <w:r w:rsidR="005A4E0C">
              <w:rPr>
                <w:noProof/>
                <w:webHidden/>
              </w:rPr>
              <w:fldChar w:fldCharType="separate"/>
            </w:r>
            <w:r w:rsidR="00746F8C">
              <w:rPr>
                <w:noProof/>
                <w:webHidden/>
              </w:rPr>
              <w:t>8</w:t>
            </w:r>
            <w:r w:rsidR="005A4E0C">
              <w:rPr>
                <w:noProof/>
                <w:webHidden/>
              </w:rPr>
              <w:fldChar w:fldCharType="end"/>
            </w:r>
          </w:hyperlink>
        </w:p>
        <w:p w14:paraId="0A4D8CD0" w14:textId="77777777" w:rsidR="005A4E0C" w:rsidRDefault="00F24DDC">
          <w:pPr>
            <w:pStyle w:val="TOC1"/>
            <w:tabs>
              <w:tab w:val="right" w:leader="dot" w:pos="9350"/>
            </w:tabs>
            <w:rPr>
              <w:rFonts w:eastAsiaTheme="minorEastAsia"/>
              <w:noProof/>
            </w:rPr>
          </w:pPr>
          <w:hyperlink w:anchor="_Toc10106975" w:history="1">
            <w:r w:rsidR="005A4E0C" w:rsidRPr="001A0566">
              <w:rPr>
                <w:rStyle w:val="Hyperlink"/>
                <w:noProof/>
              </w:rPr>
              <w:t>NPCC Interconnection Guidance</w:t>
            </w:r>
            <w:r w:rsidR="005A4E0C">
              <w:rPr>
                <w:noProof/>
                <w:webHidden/>
              </w:rPr>
              <w:tab/>
            </w:r>
            <w:r w:rsidR="005A4E0C">
              <w:rPr>
                <w:noProof/>
                <w:webHidden/>
              </w:rPr>
              <w:fldChar w:fldCharType="begin"/>
            </w:r>
            <w:r w:rsidR="005A4E0C">
              <w:rPr>
                <w:noProof/>
                <w:webHidden/>
              </w:rPr>
              <w:instrText xml:space="preserve"> PAGEREF _Toc10106975 \h </w:instrText>
            </w:r>
            <w:r w:rsidR="005A4E0C">
              <w:rPr>
                <w:noProof/>
                <w:webHidden/>
              </w:rPr>
            </w:r>
            <w:r w:rsidR="005A4E0C">
              <w:rPr>
                <w:noProof/>
                <w:webHidden/>
              </w:rPr>
              <w:fldChar w:fldCharType="separate"/>
            </w:r>
            <w:r w:rsidR="00746F8C">
              <w:rPr>
                <w:noProof/>
                <w:webHidden/>
              </w:rPr>
              <w:t>8</w:t>
            </w:r>
            <w:r w:rsidR="005A4E0C">
              <w:rPr>
                <w:noProof/>
                <w:webHidden/>
              </w:rPr>
              <w:fldChar w:fldCharType="end"/>
            </w:r>
          </w:hyperlink>
        </w:p>
        <w:p w14:paraId="5C1FCC7F" w14:textId="77777777" w:rsidR="005A4E0C" w:rsidRPr="005A4E0C" w:rsidRDefault="00F24DDC">
          <w:pPr>
            <w:pStyle w:val="TOC2"/>
            <w:rPr>
              <w:rFonts w:eastAsiaTheme="minorEastAsia"/>
              <w:b w:val="0"/>
            </w:rPr>
          </w:pPr>
          <w:hyperlink w:anchor="_Toc10106976" w:history="1">
            <w:r w:rsidR="005A4E0C" w:rsidRPr="005A4E0C">
              <w:rPr>
                <w:rStyle w:val="Hyperlink"/>
                <w:b w:val="0"/>
              </w:rPr>
              <w:t>Voltage Response</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_Toc10106976 \h </w:instrText>
            </w:r>
            <w:r w:rsidR="005A4E0C" w:rsidRPr="005A4E0C">
              <w:rPr>
                <w:b w:val="0"/>
                <w:webHidden/>
              </w:rPr>
            </w:r>
            <w:r w:rsidR="005A4E0C" w:rsidRPr="005A4E0C">
              <w:rPr>
                <w:b w:val="0"/>
                <w:webHidden/>
              </w:rPr>
              <w:fldChar w:fldCharType="separate"/>
            </w:r>
            <w:r w:rsidR="00746F8C">
              <w:rPr>
                <w:b w:val="0"/>
                <w:webHidden/>
              </w:rPr>
              <w:t>9</w:t>
            </w:r>
            <w:r w:rsidR="005A4E0C" w:rsidRPr="005A4E0C">
              <w:rPr>
                <w:b w:val="0"/>
                <w:webHidden/>
              </w:rPr>
              <w:fldChar w:fldCharType="end"/>
            </w:r>
          </w:hyperlink>
        </w:p>
        <w:p w14:paraId="4AF50DAC" w14:textId="77777777" w:rsidR="005A4E0C" w:rsidRPr="005A4E0C" w:rsidRDefault="00F24DDC">
          <w:pPr>
            <w:pStyle w:val="TOC2"/>
            <w:rPr>
              <w:rFonts w:eastAsiaTheme="minorEastAsia"/>
              <w:b w:val="0"/>
            </w:rPr>
          </w:pPr>
          <w:hyperlink w:anchor="_Toc10106977" w:history="1">
            <w:r w:rsidR="005A4E0C" w:rsidRPr="005A4E0C">
              <w:rPr>
                <w:rStyle w:val="Hyperlink"/>
                <w:b w:val="0"/>
              </w:rPr>
              <w:t>Frequency Support</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_Toc10106977 \h </w:instrText>
            </w:r>
            <w:r w:rsidR="005A4E0C" w:rsidRPr="005A4E0C">
              <w:rPr>
                <w:b w:val="0"/>
                <w:webHidden/>
              </w:rPr>
            </w:r>
            <w:r w:rsidR="005A4E0C" w:rsidRPr="005A4E0C">
              <w:rPr>
                <w:b w:val="0"/>
                <w:webHidden/>
              </w:rPr>
              <w:fldChar w:fldCharType="separate"/>
            </w:r>
            <w:r w:rsidR="00746F8C">
              <w:rPr>
                <w:b w:val="0"/>
                <w:webHidden/>
              </w:rPr>
              <w:t>9</w:t>
            </w:r>
            <w:r w:rsidR="005A4E0C" w:rsidRPr="005A4E0C">
              <w:rPr>
                <w:b w:val="0"/>
                <w:webHidden/>
              </w:rPr>
              <w:fldChar w:fldCharType="end"/>
            </w:r>
          </w:hyperlink>
        </w:p>
        <w:p w14:paraId="361A6670" w14:textId="77777777" w:rsidR="005A4E0C" w:rsidRPr="005A4E0C" w:rsidRDefault="00F24DDC">
          <w:pPr>
            <w:pStyle w:val="TOC2"/>
            <w:rPr>
              <w:rFonts w:eastAsiaTheme="minorEastAsia"/>
              <w:b w:val="0"/>
            </w:rPr>
          </w:pPr>
          <w:hyperlink w:anchor="_Toc10106978" w:history="1">
            <w:r w:rsidR="005A4E0C" w:rsidRPr="005A4E0C">
              <w:rPr>
                <w:rStyle w:val="Hyperlink"/>
                <w:b w:val="0"/>
              </w:rPr>
              <w:t>Reconnection to the Utility System</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_Toc10106978 \h </w:instrText>
            </w:r>
            <w:r w:rsidR="005A4E0C" w:rsidRPr="005A4E0C">
              <w:rPr>
                <w:b w:val="0"/>
                <w:webHidden/>
              </w:rPr>
            </w:r>
            <w:r w:rsidR="005A4E0C" w:rsidRPr="005A4E0C">
              <w:rPr>
                <w:b w:val="0"/>
                <w:webHidden/>
              </w:rPr>
              <w:fldChar w:fldCharType="separate"/>
            </w:r>
            <w:r w:rsidR="00746F8C">
              <w:rPr>
                <w:b w:val="0"/>
                <w:webHidden/>
              </w:rPr>
              <w:t>10</w:t>
            </w:r>
            <w:r w:rsidR="005A4E0C" w:rsidRPr="005A4E0C">
              <w:rPr>
                <w:b w:val="0"/>
                <w:webHidden/>
              </w:rPr>
              <w:fldChar w:fldCharType="end"/>
            </w:r>
          </w:hyperlink>
        </w:p>
        <w:p w14:paraId="2DD8A032" w14:textId="77777777" w:rsidR="005A4E0C" w:rsidRPr="005A4E0C" w:rsidRDefault="00F24DDC">
          <w:pPr>
            <w:pStyle w:val="TOC2"/>
            <w:rPr>
              <w:rFonts w:eastAsiaTheme="minorEastAsia"/>
              <w:b w:val="0"/>
            </w:rPr>
          </w:pPr>
          <w:hyperlink w:anchor="_Toc10106979" w:history="1">
            <w:r w:rsidR="005A4E0C" w:rsidRPr="005A4E0C">
              <w:rPr>
                <w:rStyle w:val="Hyperlink"/>
                <w:b w:val="0"/>
              </w:rPr>
              <w:t>Inverters</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_Toc10106979 \h </w:instrText>
            </w:r>
            <w:r w:rsidR="005A4E0C" w:rsidRPr="005A4E0C">
              <w:rPr>
                <w:b w:val="0"/>
                <w:webHidden/>
              </w:rPr>
            </w:r>
            <w:r w:rsidR="005A4E0C" w:rsidRPr="005A4E0C">
              <w:rPr>
                <w:b w:val="0"/>
                <w:webHidden/>
              </w:rPr>
              <w:fldChar w:fldCharType="separate"/>
            </w:r>
            <w:r w:rsidR="00746F8C">
              <w:rPr>
                <w:b w:val="0"/>
                <w:webHidden/>
              </w:rPr>
              <w:t>10</w:t>
            </w:r>
            <w:r w:rsidR="005A4E0C" w:rsidRPr="005A4E0C">
              <w:rPr>
                <w:b w:val="0"/>
                <w:webHidden/>
              </w:rPr>
              <w:fldChar w:fldCharType="end"/>
            </w:r>
          </w:hyperlink>
        </w:p>
        <w:p w14:paraId="6A8658E8" w14:textId="77777777" w:rsidR="005A4E0C" w:rsidRPr="005A4E0C" w:rsidRDefault="00F24DDC">
          <w:pPr>
            <w:pStyle w:val="TOC2"/>
            <w:rPr>
              <w:rFonts w:eastAsiaTheme="minorEastAsia"/>
              <w:b w:val="0"/>
            </w:rPr>
          </w:pPr>
          <w:hyperlink w:anchor="_Toc10106980" w:history="1">
            <w:r w:rsidR="005A4E0C" w:rsidRPr="005A4E0C">
              <w:rPr>
                <w:rStyle w:val="Hyperlink"/>
                <w:b w:val="0"/>
              </w:rPr>
              <w:t>Certification per UL 1741 SA as grid support utility interactive inverters</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_Toc10106980 \h </w:instrText>
            </w:r>
            <w:r w:rsidR="005A4E0C" w:rsidRPr="005A4E0C">
              <w:rPr>
                <w:b w:val="0"/>
                <w:webHidden/>
              </w:rPr>
            </w:r>
            <w:r w:rsidR="005A4E0C" w:rsidRPr="005A4E0C">
              <w:rPr>
                <w:b w:val="0"/>
                <w:webHidden/>
              </w:rPr>
              <w:fldChar w:fldCharType="separate"/>
            </w:r>
            <w:r w:rsidR="00746F8C">
              <w:rPr>
                <w:b w:val="0"/>
                <w:webHidden/>
              </w:rPr>
              <w:t>11</w:t>
            </w:r>
            <w:r w:rsidR="005A4E0C" w:rsidRPr="005A4E0C">
              <w:rPr>
                <w:b w:val="0"/>
                <w:webHidden/>
              </w:rPr>
              <w:fldChar w:fldCharType="end"/>
            </w:r>
          </w:hyperlink>
        </w:p>
        <w:p w14:paraId="3F0DA5B5" w14:textId="77777777" w:rsidR="005A4E0C" w:rsidRPr="005A4E0C" w:rsidRDefault="00F24DDC">
          <w:pPr>
            <w:pStyle w:val="TOC2"/>
            <w:rPr>
              <w:rFonts w:eastAsiaTheme="minorEastAsia"/>
              <w:b w:val="0"/>
            </w:rPr>
          </w:pPr>
          <w:hyperlink w:anchor="_Toc10106981" w:history="1">
            <w:r w:rsidR="005A4E0C" w:rsidRPr="005A4E0C">
              <w:rPr>
                <w:rStyle w:val="Hyperlink"/>
                <w:b w:val="0"/>
              </w:rPr>
              <w:t>Minimum Protective Functions</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_Toc10106981 \h </w:instrText>
            </w:r>
            <w:r w:rsidR="005A4E0C" w:rsidRPr="005A4E0C">
              <w:rPr>
                <w:b w:val="0"/>
                <w:webHidden/>
              </w:rPr>
            </w:r>
            <w:r w:rsidR="005A4E0C" w:rsidRPr="005A4E0C">
              <w:rPr>
                <w:b w:val="0"/>
                <w:webHidden/>
              </w:rPr>
              <w:fldChar w:fldCharType="separate"/>
            </w:r>
            <w:r w:rsidR="00746F8C">
              <w:rPr>
                <w:b w:val="0"/>
                <w:webHidden/>
              </w:rPr>
              <w:t>13</w:t>
            </w:r>
            <w:r w:rsidR="005A4E0C" w:rsidRPr="005A4E0C">
              <w:rPr>
                <w:b w:val="0"/>
                <w:webHidden/>
              </w:rPr>
              <w:fldChar w:fldCharType="end"/>
            </w:r>
          </w:hyperlink>
        </w:p>
        <w:p w14:paraId="099ADA0A" w14:textId="77777777" w:rsidR="005A4E0C" w:rsidRPr="005A4E0C" w:rsidRDefault="00F24DDC">
          <w:pPr>
            <w:pStyle w:val="TOC2"/>
            <w:rPr>
              <w:rFonts w:eastAsiaTheme="minorEastAsia"/>
              <w:b w:val="0"/>
            </w:rPr>
          </w:pPr>
          <w:hyperlink w:anchor="_Toc10106982" w:history="1">
            <w:r w:rsidR="005A4E0C" w:rsidRPr="005A4E0C">
              <w:rPr>
                <w:rStyle w:val="Hyperlink"/>
                <w:b w:val="0"/>
              </w:rPr>
              <w:t>Metering</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_Toc10106982 \h </w:instrText>
            </w:r>
            <w:r w:rsidR="005A4E0C" w:rsidRPr="005A4E0C">
              <w:rPr>
                <w:b w:val="0"/>
                <w:webHidden/>
              </w:rPr>
            </w:r>
            <w:r w:rsidR="005A4E0C" w:rsidRPr="005A4E0C">
              <w:rPr>
                <w:b w:val="0"/>
                <w:webHidden/>
              </w:rPr>
              <w:fldChar w:fldCharType="separate"/>
            </w:r>
            <w:r w:rsidR="00746F8C">
              <w:rPr>
                <w:b w:val="0"/>
                <w:webHidden/>
              </w:rPr>
              <w:t>15</w:t>
            </w:r>
            <w:r w:rsidR="005A4E0C" w:rsidRPr="005A4E0C">
              <w:rPr>
                <w:b w:val="0"/>
                <w:webHidden/>
              </w:rPr>
              <w:fldChar w:fldCharType="end"/>
            </w:r>
          </w:hyperlink>
        </w:p>
        <w:p w14:paraId="14AB5779" w14:textId="77777777" w:rsidR="005A4E0C" w:rsidRPr="005A4E0C" w:rsidRDefault="00F24DDC">
          <w:pPr>
            <w:pStyle w:val="TOC2"/>
            <w:rPr>
              <w:rFonts w:eastAsiaTheme="minorEastAsia"/>
              <w:b w:val="0"/>
            </w:rPr>
          </w:pPr>
          <w:hyperlink w:anchor="_Toc10106983" w:history="1">
            <w:r w:rsidR="005A4E0C" w:rsidRPr="005A4E0C">
              <w:rPr>
                <w:rStyle w:val="Hyperlink"/>
                <w:b w:val="0"/>
              </w:rPr>
              <w:t>Power Quality</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_Toc10106983 \h </w:instrText>
            </w:r>
            <w:r w:rsidR="005A4E0C" w:rsidRPr="005A4E0C">
              <w:rPr>
                <w:b w:val="0"/>
                <w:webHidden/>
              </w:rPr>
            </w:r>
            <w:r w:rsidR="005A4E0C" w:rsidRPr="005A4E0C">
              <w:rPr>
                <w:b w:val="0"/>
                <w:webHidden/>
              </w:rPr>
              <w:fldChar w:fldCharType="separate"/>
            </w:r>
            <w:r w:rsidR="00746F8C">
              <w:rPr>
                <w:b w:val="0"/>
                <w:webHidden/>
              </w:rPr>
              <w:t>15</w:t>
            </w:r>
            <w:r w:rsidR="005A4E0C" w:rsidRPr="005A4E0C">
              <w:rPr>
                <w:b w:val="0"/>
                <w:webHidden/>
              </w:rPr>
              <w:fldChar w:fldCharType="end"/>
            </w:r>
          </w:hyperlink>
        </w:p>
        <w:p w14:paraId="0C478C62" w14:textId="77777777" w:rsidR="005A4E0C" w:rsidRPr="005A4E0C" w:rsidRDefault="00F24DDC">
          <w:pPr>
            <w:pStyle w:val="TOC2"/>
            <w:rPr>
              <w:rFonts w:eastAsiaTheme="minorEastAsia"/>
              <w:b w:val="0"/>
            </w:rPr>
          </w:pPr>
          <w:hyperlink w:anchor="_Toc10106984" w:history="1">
            <w:r w:rsidR="005A4E0C" w:rsidRPr="005A4E0C">
              <w:rPr>
                <w:rStyle w:val="Hyperlink"/>
                <w:b w:val="0"/>
              </w:rPr>
              <w:t>Power Factor</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_Toc10106984 \h </w:instrText>
            </w:r>
            <w:r w:rsidR="005A4E0C" w:rsidRPr="005A4E0C">
              <w:rPr>
                <w:b w:val="0"/>
                <w:webHidden/>
              </w:rPr>
            </w:r>
            <w:r w:rsidR="005A4E0C" w:rsidRPr="005A4E0C">
              <w:rPr>
                <w:b w:val="0"/>
                <w:webHidden/>
              </w:rPr>
              <w:fldChar w:fldCharType="separate"/>
            </w:r>
            <w:r w:rsidR="00746F8C">
              <w:rPr>
                <w:b w:val="0"/>
                <w:webHidden/>
              </w:rPr>
              <w:t>15</w:t>
            </w:r>
            <w:r w:rsidR="005A4E0C" w:rsidRPr="005A4E0C">
              <w:rPr>
                <w:b w:val="0"/>
                <w:webHidden/>
              </w:rPr>
              <w:fldChar w:fldCharType="end"/>
            </w:r>
          </w:hyperlink>
        </w:p>
        <w:p w14:paraId="2FE153C2" w14:textId="77777777" w:rsidR="005A4E0C" w:rsidRPr="005A4E0C" w:rsidRDefault="00F24DDC">
          <w:pPr>
            <w:pStyle w:val="TOC2"/>
            <w:rPr>
              <w:rFonts w:eastAsiaTheme="minorEastAsia"/>
              <w:b w:val="0"/>
            </w:rPr>
          </w:pPr>
          <w:hyperlink w:anchor="_Toc10106985" w:history="1">
            <w:r w:rsidR="005A4E0C" w:rsidRPr="005A4E0C">
              <w:rPr>
                <w:rStyle w:val="Hyperlink"/>
                <w:b w:val="0"/>
              </w:rPr>
              <w:t>Islanding</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_Toc10106985 \h </w:instrText>
            </w:r>
            <w:r w:rsidR="005A4E0C" w:rsidRPr="005A4E0C">
              <w:rPr>
                <w:b w:val="0"/>
                <w:webHidden/>
              </w:rPr>
            </w:r>
            <w:r w:rsidR="005A4E0C" w:rsidRPr="005A4E0C">
              <w:rPr>
                <w:b w:val="0"/>
                <w:webHidden/>
              </w:rPr>
              <w:fldChar w:fldCharType="separate"/>
            </w:r>
            <w:r w:rsidR="00746F8C">
              <w:rPr>
                <w:b w:val="0"/>
                <w:webHidden/>
              </w:rPr>
              <w:t>15</w:t>
            </w:r>
            <w:r w:rsidR="005A4E0C" w:rsidRPr="005A4E0C">
              <w:rPr>
                <w:b w:val="0"/>
                <w:webHidden/>
              </w:rPr>
              <w:fldChar w:fldCharType="end"/>
            </w:r>
          </w:hyperlink>
        </w:p>
        <w:p w14:paraId="7257103E" w14:textId="77777777" w:rsidR="005A4E0C" w:rsidRPr="005A4E0C" w:rsidRDefault="00F24DDC">
          <w:pPr>
            <w:pStyle w:val="TOC2"/>
            <w:rPr>
              <w:rFonts w:eastAsiaTheme="minorEastAsia"/>
              <w:b w:val="0"/>
            </w:rPr>
          </w:pPr>
          <w:hyperlink w:anchor="_Toc10106986" w:history="1">
            <w:r w:rsidR="005A4E0C" w:rsidRPr="005A4E0C">
              <w:rPr>
                <w:rStyle w:val="Hyperlink"/>
                <w:b w:val="0"/>
              </w:rPr>
              <w:t>Underfrequency Load Shedding Programs</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_Toc10106986 \h </w:instrText>
            </w:r>
            <w:r w:rsidR="005A4E0C" w:rsidRPr="005A4E0C">
              <w:rPr>
                <w:b w:val="0"/>
                <w:webHidden/>
              </w:rPr>
            </w:r>
            <w:r w:rsidR="005A4E0C" w:rsidRPr="005A4E0C">
              <w:rPr>
                <w:b w:val="0"/>
                <w:webHidden/>
              </w:rPr>
              <w:fldChar w:fldCharType="separate"/>
            </w:r>
            <w:r w:rsidR="00746F8C">
              <w:rPr>
                <w:b w:val="0"/>
                <w:webHidden/>
              </w:rPr>
              <w:t>16</w:t>
            </w:r>
            <w:r w:rsidR="005A4E0C" w:rsidRPr="005A4E0C">
              <w:rPr>
                <w:b w:val="0"/>
                <w:webHidden/>
              </w:rPr>
              <w:fldChar w:fldCharType="end"/>
            </w:r>
          </w:hyperlink>
        </w:p>
        <w:p w14:paraId="11170167" w14:textId="77777777" w:rsidR="005A4E0C" w:rsidRPr="005A4E0C" w:rsidRDefault="00F24DDC">
          <w:pPr>
            <w:pStyle w:val="TOC2"/>
            <w:rPr>
              <w:rFonts w:eastAsiaTheme="minorEastAsia"/>
              <w:b w:val="0"/>
            </w:rPr>
          </w:pPr>
          <w:hyperlink w:anchor="_Toc10106987" w:history="1">
            <w:r w:rsidR="005A4E0C" w:rsidRPr="005A4E0C">
              <w:rPr>
                <w:rStyle w:val="Hyperlink"/>
                <w:b w:val="0"/>
              </w:rPr>
              <w:t>Effective Grounding for DER</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_Toc10106987 \h </w:instrText>
            </w:r>
            <w:r w:rsidR="005A4E0C" w:rsidRPr="005A4E0C">
              <w:rPr>
                <w:b w:val="0"/>
                <w:webHidden/>
              </w:rPr>
            </w:r>
            <w:r w:rsidR="005A4E0C" w:rsidRPr="005A4E0C">
              <w:rPr>
                <w:b w:val="0"/>
                <w:webHidden/>
              </w:rPr>
              <w:fldChar w:fldCharType="separate"/>
            </w:r>
            <w:r w:rsidR="00746F8C">
              <w:rPr>
                <w:b w:val="0"/>
                <w:webHidden/>
              </w:rPr>
              <w:t>16</w:t>
            </w:r>
            <w:r w:rsidR="005A4E0C" w:rsidRPr="005A4E0C">
              <w:rPr>
                <w:b w:val="0"/>
                <w:webHidden/>
              </w:rPr>
              <w:fldChar w:fldCharType="end"/>
            </w:r>
          </w:hyperlink>
        </w:p>
        <w:p w14:paraId="3A9D8F08" w14:textId="77777777" w:rsidR="005A4E0C" w:rsidRPr="005A4E0C" w:rsidRDefault="00F24DDC">
          <w:pPr>
            <w:pStyle w:val="TOC2"/>
            <w:rPr>
              <w:rFonts w:eastAsiaTheme="minorEastAsia"/>
              <w:b w:val="0"/>
            </w:rPr>
          </w:pPr>
          <w:hyperlink w:anchor="_Toc10106988" w:history="1">
            <w:r w:rsidR="005A4E0C" w:rsidRPr="005A4E0C">
              <w:rPr>
                <w:rStyle w:val="Hyperlink"/>
                <w:b w:val="0"/>
              </w:rPr>
              <w:t>Energy Storage Systems for DER</w:t>
            </w:r>
            <w:r w:rsidR="005A4E0C" w:rsidRPr="005A4E0C">
              <w:rPr>
                <w:b w:val="0"/>
                <w:webHidden/>
              </w:rPr>
              <w:tab/>
            </w:r>
            <w:r w:rsidR="005A4E0C" w:rsidRPr="005A4E0C">
              <w:rPr>
                <w:b w:val="0"/>
                <w:webHidden/>
              </w:rPr>
              <w:fldChar w:fldCharType="begin"/>
            </w:r>
            <w:r w:rsidR="005A4E0C" w:rsidRPr="005A4E0C">
              <w:rPr>
                <w:b w:val="0"/>
                <w:webHidden/>
              </w:rPr>
              <w:instrText xml:space="preserve"> PAGEREF _Toc10106988 \h </w:instrText>
            </w:r>
            <w:r w:rsidR="005A4E0C" w:rsidRPr="005A4E0C">
              <w:rPr>
                <w:b w:val="0"/>
                <w:webHidden/>
              </w:rPr>
            </w:r>
            <w:r w:rsidR="005A4E0C" w:rsidRPr="005A4E0C">
              <w:rPr>
                <w:b w:val="0"/>
                <w:webHidden/>
              </w:rPr>
              <w:fldChar w:fldCharType="separate"/>
            </w:r>
            <w:r w:rsidR="00746F8C">
              <w:rPr>
                <w:b w:val="0"/>
                <w:webHidden/>
              </w:rPr>
              <w:t>17</w:t>
            </w:r>
            <w:r w:rsidR="005A4E0C" w:rsidRPr="005A4E0C">
              <w:rPr>
                <w:b w:val="0"/>
                <w:webHidden/>
              </w:rPr>
              <w:fldChar w:fldCharType="end"/>
            </w:r>
          </w:hyperlink>
        </w:p>
        <w:p w14:paraId="4984EBBD" w14:textId="77777777" w:rsidR="005A4E0C" w:rsidRDefault="00F24DDC">
          <w:pPr>
            <w:pStyle w:val="TOC1"/>
            <w:tabs>
              <w:tab w:val="right" w:leader="dot" w:pos="9350"/>
            </w:tabs>
            <w:rPr>
              <w:rFonts w:eastAsiaTheme="minorEastAsia"/>
              <w:noProof/>
            </w:rPr>
          </w:pPr>
          <w:hyperlink w:anchor="_Toc10106989" w:history="1">
            <w:r w:rsidR="005A4E0C" w:rsidRPr="001A0566">
              <w:rPr>
                <w:rStyle w:val="Hyperlink"/>
                <w:noProof/>
              </w:rPr>
              <w:t>DER BES Recommendations</w:t>
            </w:r>
            <w:r w:rsidR="005A4E0C">
              <w:rPr>
                <w:noProof/>
                <w:webHidden/>
              </w:rPr>
              <w:tab/>
            </w:r>
            <w:r w:rsidR="005A4E0C">
              <w:rPr>
                <w:noProof/>
                <w:webHidden/>
              </w:rPr>
              <w:fldChar w:fldCharType="begin"/>
            </w:r>
            <w:r w:rsidR="005A4E0C">
              <w:rPr>
                <w:noProof/>
                <w:webHidden/>
              </w:rPr>
              <w:instrText xml:space="preserve"> PAGEREF _Toc10106989 \h </w:instrText>
            </w:r>
            <w:r w:rsidR="005A4E0C">
              <w:rPr>
                <w:noProof/>
                <w:webHidden/>
              </w:rPr>
            </w:r>
            <w:r w:rsidR="005A4E0C">
              <w:rPr>
                <w:noProof/>
                <w:webHidden/>
              </w:rPr>
              <w:fldChar w:fldCharType="separate"/>
            </w:r>
            <w:r w:rsidR="00746F8C">
              <w:rPr>
                <w:noProof/>
                <w:webHidden/>
              </w:rPr>
              <w:t>17</w:t>
            </w:r>
            <w:r w:rsidR="005A4E0C">
              <w:rPr>
                <w:noProof/>
                <w:webHidden/>
              </w:rPr>
              <w:fldChar w:fldCharType="end"/>
            </w:r>
          </w:hyperlink>
        </w:p>
        <w:p w14:paraId="0B549698" w14:textId="77777777" w:rsidR="005A4E0C" w:rsidRDefault="00F24DDC">
          <w:pPr>
            <w:pStyle w:val="TOC1"/>
            <w:tabs>
              <w:tab w:val="right" w:leader="dot" w:pos="9350"/>
            </w:tabs>
            <w:rPr>
              <w:rFonts w:eastAsiaTheme="minorEastAsia"/>
              <w:noProof/>
            </w:rPr>
          </w:pPr>
          <w:hyperlink w:anchor="_Toc10106990" w:history="1">
            <w:r w:rsidR="005A4E0C" w:rsidRPr="001A0566">
              <w:rPr>
                <w:rStyle w:val="Hyperlink"/>
                <w:noProof/>
              </w:rPr>
              <w:t>Appendix A NPCC DER Impact Reporting Form</w:t>
            </w:r>
            <w:r w:rsidR="005A4E0C">
              <w:rPr>
                <w:noProof/>
                <w:webHidden/>
              </w:rPr>
              <w:tab/>
            </w:r>
            <w:r w:rsidR="005A4E0C">
              <w:rPr>
                <w:noProof/>
                <w:webHidden/>
              </w:rPr>
              <w:fldChar w:fldCharType="begin"/>
            </w:r>
            <w:r w:rsidR="005A4E0C">
              <w:rPr>
                <w:noProof/>
                <w:webHidden/>
              </w:rPr>
              <w:instrText xml:space="preserve"> PAGEREF _Toc10106990 \h </w:instrText>
            </w:r>
            <w:r w:rsidR="005A4E0C">
              <w:rPr>
                <w:noProof/>
                <w:webHidden/>
              </w:rPr>
            </w:r>
            <w:r w:rsidR="005A4E0C">
              <w:rPr>
                <w:noProof/>
                <w:webHidden/>
              </w:rPr>
              <w:fldChar w:fldCharType="separate"/>
            </w:r>
            <w:r w:rsidR="00746F8C">
              <w:rPr>
                <w:noProof/>
                <w:webHidden/>
              </w:rPr>
              <w:t>18</w:t>
            </w:r>
            <w:r w:rsidR="005A4E0C">
              <w:rPr>
                <w:noProof/>
                <w:webHidden/>
              </w:rPr>
              <w:fldChar w:fldCharType="end"/>
            </w:r>
          </w:hyperlink>
        </w:p>
        <w:p w14:paraId="4721EC08" w14:textId="77777777" w:rsidR="005A4E0C" w:rsidRDefault="00F24DDC">
          <w:pPr>
            <w:pStyle w:val="TOC1"/>
            <w:tabs>
              <w:tab w:val="right" w:leader="dot" w:pos="9350"/>
            </w:tabs>
            <w:rPr>
              <w:rFonts w:eastAsiaTheme="minorEastAsia"/>
              <w:noProof/>
            </w:rPr>
          </w:pPr>
          <w:hyperlink w:anchor="_Toc10106991" w:history="1">
            <w:r w:rsidR="005A4E0C" w:rsidRPr="001A0566">
              <w:rPr>
                <w:rStyle w:val="Hyperlink"/>
                <w:rFonts w:eastAsia="Times New Roman"/>
                <w:noProof/>
              </w:rPr>
              <w:t>Appendix B NPCC Area Comparison</w:t>
            </w:r>
            <w:r w:rsidR="005A4E0C">
              <w:rPr>
                <w:noProof/>
                <w:webHidden/>
              </w:rPr>
              <w:tab/>
            </w:r>
            <w:r w:rsidR="005A4E0C">
              <w:rPr>
                <w:noProof/>
                <w:webHidden/>
              </w:rPr>
              <w:fldChar w:fldCharType="begin"/>
            </w:r>
            <w:r w:rsidR="005A4E0C">
              <w:rPr>
                <w:noProof/>
                <w:webHidden/>
              </w:rPr>
              <w:instrText xml:space="preserve"> PAGEREF _Toc10106991 \h </w:instrText>
            </w:r>
            <w:r w:rsidR="005A4E0C">
              <w:rPr>
                <w:noProof/>
                <w:webHidden/>
              </w:rPr>
            </w:r>
            <w:r w:rsidR="005A4E0C">
              <w:rPr>
                <w:noProof/>
                <w:webHidden/>
              </w:rPr>
              <w:fldChar w:fldCharType="separate"/>
            </w:r>
            <w:r w:rsidR="00746F8C">
              <w:rPr>
                <w:noProof/>
                <w:webHidden/>
              </w:rPr>
              <w:t>20</w:t>
            </w:r>
            <w:r w:rsidR="005A4E0C">
              <w:rPr>
                <w:noProof/>
                <w:webHidden/>
              </w:rPr>
              <w:fldChar w:fldCharType="end"/>
            </w:r>
          </w:hyperlink>
        </w:p>
        <w:p w14:paraId="7B68CC30" w14:textId="77777777" w:rsidR="00EF714D" w:rsidRDefault="00EF714D">
          <w:r>
            <w:rPr>
              <w:b/>
              <w:bCs/>
              <w:noProof/>
            </w:rPr>
            <w:fldChar w:fldCharType="end"/>
          </w:r>
        </w:p>
      </w:sdtContent>
    </w:sdt>
    <w:p w14:paraId="7E6E531B" w14:textId="77777777" w:rsidR="005831D8" w:rsidRPr="0044377B" w:rsidRDefault="005831D8" w:rsidP="007E766B">
      <w:pPr>
        <w:pStyle w:val="Heading1"/>
        <w:spacing w:line="480" w:lineRule="auto"/>
      </w:pPr>
      <w:bookmarkStart w:id="3" w:name="_Toc10106970"/>
      <w:r w:rsidRPr="0044377B">
        <w:lastRenderedPageBreak/>
        <w:t>Executive Summary</w:t>
      </w:r>
      <w:bookmarkEnd w:id="2"/>
      <w:bookmarkEnd w:id="3"/>
    </w:p>
    <w:p w14:paraId="697734CF" w14:textId="77777777" w:rsidR="004313D4" w:rsidRDefault="004313D4" w:rsidP="00C23EA5">
      <w:r>
        <w:t xml:space="preserve">The Northeast Power Coordinating Council, Inc. (NPCC) </w:t>
      </w:r>
      <w:r w:rsidR="000D0B3C">
        <w:t>is responsible for promoting and enhancing the reliability of the international, interconnected bulk power system in Northeastern North America.</w:t>
      </w:r>
      <w:r w:rsidRPr="00D57066">
        <w:t xml:space="preserve"> </w:t>
      </w:r>
    </w:p>
    <w:p w14:paraId="1D31C8BC" w14:textId="77777777" w:rsidR="004313D4" w:rsidRDefault="00BD7847" w:rsidP="00C23EA5">
      <w:r>
        <w:t>As D</w:t>
      </w:r>
      <w:r w:rsidR="00735A45">
        <w:t xml:space="preserve">istributed </w:t>
      </w:r>
      <w:r>
        <w:t>E</w:t>
      </w:r>
      <w:r w:rsidR="00735A45">
        <w:t xml:space="preserve">nergy </w:t>
      </w:r>
      <w:r>
        <w:t>R</w:t>
      </w:r>
      <w:r w:rsidR="00735A45">
        <w:t>esources (DER), installed on the distribution system,</w:t>
      </w:r>
      <w:r>
        <w:t xml:space="preserve"> continue to replace </w:t>
      </w:r>
      <w:r w:rsidR="00735A45">
        <w:t xml:space="preserve">traditional industry </w:t>
      </w:r>
      <w:r>
        <w:t xml:space="preserve">generation </w:t>
      </w:r>
      <w:r w:rsidR="00735A45">
        <w:t xml:space="preserve">resources </w:t>
      </w:r>
      <w:r w:rsidR="00325B84">
        <w:t xml:space="preserve">this transformation </w:t>
      </w:r>
      <w:r>
        <w:t xml:space="preserve">will impact the </w:t>
      </w:r>
      <w:r w:rsidR="00325B84">
        <w:t xml:space="preserve">reliability and resilience </w:t>
      </w:r>
      <w:r>
        <w:t>of the Bulk Electric System</w:t>
      </w:r>
      <w:r w:rsidR="00D04A0D">
        <w:t xml:space="preserve"> (BES)</w:t>
      </w:r>
      <w:r>
        <w:t xml:space="preserve">.  </w:t>
      </w:r>
      <w:r w:rsidR="00D04A0D">
        <w:t xml:space="preserve">Historically, </w:t>
      </w:r>
      <w:r w:rsidR="0054406B">
        <w:t>the North American Electric Reliability Corporation (</w:t>
      </w:r>
      <w:r w:rsidR="00D04A0D">
        <w:t>NERC</w:t>
      </w:r>
      <w:r w:rsidR="0054406B">
        <w:t>)</w:t>
      </w:r>
      <w:r w:rsidR="00D04A0D">
        <w:t xml:space="preserve"> Reliability Standards have not been applicable to equipment on the distribution system unless such equipment has a direct impact on the </w:t>
      </w:r>
      <w:r w:rsidR="0054406B">
        <w:t>reliable operation</w:t>
      </w:r>
      <w:r w:rsidR="00363CCA">
        <w:rPr>
          <w:rStyle w:val="FootnoteReference"/>
        </w:rPr>
        <w:footnoteReference w:id="1"/>
      </w:r>
      <w:r w:rsidR="00D04A0D">
        <w:t xml:space="preserve"> of the BES; however as penetration of DER increases planning and operating assessments will need to accurately represent how DER interacts with the load characteristics of the distribution system. </w:t>
      </w:r>
      <w:r>
        <w:t xml:space="preserve">  </w:t>
      </w:r>
      <w:r w:rsidR="004313D4">
        <w:t>Development of this document</w:t>
      </w:r>
      <w:r w:rsidR="00C64417" w:rsidRPr="00C64417">
        <w:t xml:space="preserve"> was initiated by the NPCC </w:t>
      </w:r>
      <w:r w:rsidR="00C23EA5">
        <w:t xml:space="preserve">Board of Directors to develop Regional guidance </w:t>
      </w:r>
      <w:r w:rsidR="007D20D9">
        <w:t xml:space="preserve">and suggested approaches to assist NPCC Members in modelling assessments </w:t>
      </w:r>
      <w:r w:rsidR="00C23EA5">
        <w:t xml:space="preserve">for </w:t>
      </w:r>
      <w:r w:rsidR="007D20D9">
        <w:t>the operation and planning of DER within</w:t>
      </w:r>
      <w:r w:rsidR="006373A2">
        <w:t xml:space="preserve"> the</w:t>
      </w:r>
      <w:r w:rsidR="007D20D9">
        <w:t xml:space="preserve"> NPCC</w:t>
      </w:r>
      <w:r w:rsidR="006373A2">
        <w:t xml:space="preserve"> Region</w:t>
      </w:r>
      <w:r w:rsidR="007D20D9">
        <w:t xml:space="preserve">. </w:t>
      </w:r>
      <w:r w:rsidR="004313D4">
        <w:t>Th</w:t>
      </w:r>
      <w:r w:rsidR="00765EC0">
        <w:t>is initial</w:t>
      </w:r>
      <w:r w:rsidR="004313D4">
        <w:t xml:space="preserve"> guidance does not consider </w:t>
      </w:r>
      <w:r w:rsidR="00765EC0">
        <w:t xml:space="preserve">specific </w:t>
      </w:r>
      <w:r w:rsidR="004313D4">
        <w:t xml:space="preserve">rooftop solar or </w:t>
      </w:r>
      <w:r w:rsidR="007D20D9">
        <w:t xml:space="preserve">individual </w:t>
      </w:r>
      <w:r w:rsidR="004313D4">
        <w:t>installation</w:t>
      </w:r>
      <w:r w:rsidR="007D20D9">
        <w:t>s</w:t>
      </w:r>
      <w:r w:rsidR="004313D4">
        <w:t xml:space="preserve"> of wind turbine</w:t>
      </w:r>
      <w:r w:rsidR="007D20D9">
        <w:t>s</w:t>
      </w:r>
      <w:r w:rsidR="004313D4">
        <w:t xml:space="preserve"> or other localized behind the revenue meter DER</w:t>
      </w:r>
      <w:r w:rsidR="007D20D9">
        <w:t>. (</w:t>
      </w:r>
      <w:r>
        <w:t>although there is process described in this document which allows entities to identify impacts to NPCC so they can be addressed and acknowledged</w:t>
      </w:r>
      <w:r w:rsidR="007D20D9">
        <w:t>)</w:t>
      </w:r>
      <w:r w:rsidR="004313D4">
        <w:t>.</w:t>
      </w:r>
      <w:r w:rsidR="00B63A6C" w:rsidRPr="00B63A6C">
        <w:t xml:space="preserve"> </w:t>
      </w:r>
      <w:r w:rsidR="00765EC0">
        <w:t xml:space="preserve"> </w:t>
      </w:r>
      <w:r w:rsidR="00B63A6C" w:rsidRPr="00B63A6C">
        <w:t xml:space="preserve">NPCC Staff </w:t>
      </w:r>
      <w:r w:rsidR="007D20D9">
        <w:t xml:space="preserve">has </w:t>
      </w:r>
      <w:r w:rsidR="00B63A6C" w:rsidRPr="00B63A6C">
        <w:t>develop</w:t>
      </w:r>
      <w:r w:rsidR="00B63A6C">
        <w:t xml:space="preserve">ed this </w:t>
      </w:r>
      <w:r w:rsidR="004313D4">
        <w:t>guidance</w:t>
      </w:r>
      <w:r w:rsidR="00B63A6C">
        <w:t xml:space="preserve"> as</w:t>
      </w:r>
      <w:r w:rsidR="00B63A6C" w:rsidRPr="00B63A6C">
        <w:t xml:space="preserve"> an initial </w:t>
      </w:r>
      <w:r w:rsidR="004313D4">
        <w:t xml:space="preserve">document to leverage existing interconnection requirements at the </w:t>
      </w:r>
      <w:r w:rsidR="006373A2">
        <w:t>distribution</w:t>
      </w:r>
      <w:r w:rsidR="004313D4">
        <w:t xml:space="preserve"> level and identify opportunities and potential gaps that may exist </w:t>
      </w:r>
      <w:r w:rsidR="007D20D9">
        <w:t xml:space="preserve">in order to </w:t>
      </w:r>
      <w:r w:rsidR="004313D4">
        <w:t xml:space="preserve">promote good utility interconnection practices beneficial to reliability of the NPCC </w:t>
      </w:r>
      <w:r w:rsidR="006373A2">
        <w:t>Region</w:t>
      </w:r>
      <w:r w:rsidR="004313D4">
        <w:t>.</w:t>
      </w:r>
    </w:p>
    <w:p w14:paraId="19EE9E7B" w14:textId="674EF6EF" w:rsidR="00D3119E" w:rsidRDefault="00454518" w:rsidP="00C23EA5">
      <w:r>
        <w:t xml:space="preserve">DER </w:t>
      </w:r>
      <w:r w:rsidR="004313D4">
        <w:t xml:space="preserve">for the purpose of this </w:t>
      </w:r>
      <w:r w:rsidR="00AC73B0">
        <w:t>guidance</w:t>
      </w:r>
      <w:r w:rsidR="004313D4">
        <w:t xml:space="preserve"> means a</w:t>
      </w:r>
      <w:r w:rsidR="004313D4" w:rsidRPr="004313D4">
        <w:t>ny non-BES real or reactive resource (generating unit, multiple generating units at a single location, distribut</w:t>
      </w:r>
      <w:r w:rsidR="007832CE">
        <w:t>ed</w:t>
      </w:r>
      <w:r w:rsidR="004313D4" w:rsidRPr="004313D4">
        <w:t xml:space="preserve"> generat</w:t>
      </w:r>
      <w:r w:rsidR="007832CE">
        <w:t>ion</w:t>
      </w:r>
      <w:r w:rsidR="00F41110">
        <w:t>, battery storage,</w:t>
      </w:r>
      <w:r w:rsidR="004313D4" w:rsidRPr="004313D4">
        <w:t xml:space="preserve"> etc.) located</w:t>
      </w:r>
      <w:r w:rsidR="007832CE">
        <w:t xml:space="preserve"> </w:t>
      </w:r>
      <w:r w:rsidR="004313D4" w:rsidRPr="004313D4">
        <w:t xml:space="preserve">within the boundary of any distribution utility </w:t>
      </w:r>
      <w:r w:rsidR="004313D4">
        <w:t>and not behind revenue metering</w:t>
      </w:r>
      <w:r w:rsidR="00BD7847">
        <w:t>,</w:t>
      </w:r>
      <w:r w:rsidR="00D260F8">
        <w:t xml:space="preserve"> unless specifically indicated</w:t>
      </w:r>
      <w:r w:rsidR="00F41110">
        <w:t>.</w:t>
      </w:r>
      <w:r w:rsidR="00B63A6C" w:rsidRPr="00B63A6C">
        <w:t xml:space="preserve"> </w:t>
      </w:r>
    </w:p>
    <w:p w14:paraId="7242816A" w14:textId="77777777" w:rsidR="008E46F3" w:rsidRPr="00414DF9" w:rsidRDefault="008E46F3" w:rsidP="007E766B">
      <w:pPr>
        <w:pStyle w:val="Heading1"/>
        <w:spacing w:line="480" w:lineRule="auto"/>
      </w:pPr>
      <w:bookmarkStart w:id="4" w:name="_Toc516650263"/>
      <w:bookmarkStart w:id="5" w:name="_Toc10106971"/>
      <w:r w:rsidRPr="00414DF9">
        <w:t xml:space="preserve">Introduction </w:t>
      </w:r>
      <w:r w:rsidR="0064472C" w:rsidRPr="00414DF9">
        <w:t>and Objective</w:t>
      </w:r>
      <w:bookmarkEnd w:id="4"/>
      <w:bookmarkEnd w:id="5"/>
    </w:p>
    <w:p w14:paraId="7C6BAA34" w14:textId="77777777" w:rsidR="0007012F" w:rsidRDefault="004313D4">
      <w:r>
        <w:t>As DER</w:t>
      </w:r>
      <w:r w:rsidR="0007012F">
        <w:t>s</w:t>
      </w:r>
      <w:r>
        <w:t xml:space="preserve"> continue to penetrate </w:t>
      </w:r>
      <w:r w:rsidR="00F41110">
        <w:t xml:space="preserve">the electric system </w:t>
      </w:r>
      <w:r>
        <w:t>at the “grid edge”</w:t>
      </w:r>
      <w:r w:rsidR="00F41110">
        <w:t xml:space="preserve"> or </w:t>
      </w:r>
      <w:r w:rsidR="0007012F">
        <w:t xml:space="preserve">distribution system, </w:t>
      </w:r>
      <w:r>
        <w:t>and replace conventional transmission grid connected carbon producing</w:t>
      </w:r>
      <w:r w:rsidR="007832CE">
        <w:t xml:space="preserve"> </w:t>
      </w:r>
      <w:r>
        <w:t>and nuclear</w:t>
      </w:r>
      <w:r w:rsidR="007832CE">
        <w:t xml:space="preserve"> generation </w:t>
      </w:r>
      <w:r>
        <w:t xml:space="preserve">resources, there is </w:t>
      </w:r>
      <w:r w:rsidR="0007012F">
        <w:t xml:space="preserve">an increasing </w:t>
      </w:r>
      <w:r>
        <w:t xml:space="preserve">reliability related need to understand </w:t>
      </w:r>
      <w:r w:rsidR="0007012F">
        <w:t>the effect of</w:t>
      </w:r>
      <w:r>
        <w:t xml:space="preserve"> these</w:t>
      </w:r>
      <w:r w:rsidR="00C41CB6">
        <w:t xml:space="preserve"> DER</w:t>
      </w:r>
      <w:r>
        <w:t xml:space="preserve"> resources</w:t>
      </w:r>
      <w:r w:rsidR="0007012F">
        <w:t>.  It is important to understand how DERs are</w:t>
      </w:r>
      <w:r>
        <w:t xml:space="preserve"> interconnected</w:t>
      </w:r>
      <w:r w:rsidR="0007012F">
        <w:t xml:space="preserve">, planned, operated and how they interact with the transmission grid.  Reliably and securely integrating DER into the electric system will require a </w:t>
      </w:r>
      <w:r w:rsidR="001D30FD">
        <w:t xml:space="preserve">comprehensive </w:t>
      </w:r>
      <w:r w:rsidR="0007012F">
        <w:t xml:space="preserve">approach </w:t>
      </w:r>
      <w:r w:rsidR="001D30FD">
        <w:t xml:space="preserve">utilizing </w:t>
      </w:r>
      <w:r w:rsidR="0007012F">
        <w:t xml:space="preserve">perspectives from areas, </w:t>
      </w:r>
      <w:r w:rsidR="001D30FD">
        <w:t>such as</w:t>
      </w:r>
      <w:r w:rsidR="0007012F">
        <w:t xml:space="preserve">, </w:t>
      </w:r>
      <w:r w:rsidR="00F41110">
        <w:t xml:space="preserve">DER </w:t>
      </w:r>
      <w:r w:rsidR="0007012F">
        <w:t>design,</w:t>
      </w:r>
      <w:r w:rsidR="00F41110">
        <w:t xml:space="preserve"> modeling,</w:t>
      </w:r>
      <w:r w:rsidR="0007012F">
        <w:t xml:space="preserve"> planning, </w:t>
      </w:r>
      <w:r w:rsidR="0028737E">
        <w:t>relay coordination</w:t>
      </w:r>
      <w:r w:rsidR="00C41CB6">
        <w:t xml:space="preserve">, </w:t>
      </w:r>
      <w:r w:rsidR="0007012F">
        <w:t xml:space="preserve">and operations as well as </w:t>
      </w:r>
      <w:r w:rsidR="00161E53">
        <w:t xml:space="preserve">consideration of </w:t>
      </w:r>
      <w:r w:rsidR="0007012F">
        <w:t>regulatory and jurisdictional issues from both a U</w:t>
      </w:r>
      <w:r w:rsidR="00C41CB6">
        <w:t>.</w:t>
      </w:r>
      <w:r w:rsidR="0007012F">
        <w:t>S</w:t>
      </w:r>
      <w:r w:rsidR="00C41CB6">
        <w:t>.</w:t>
      </w:r>
      <w:r w:rsidR="0007012F">
        <w:t xml:space="preserve"> and Canadian perspective.  </w:t>
      </w:r>
      <w:r w:rsidR="00513F3F">
        <w:t xml:space="preserve">Appendix B of this document provides a comparison of NPCC’s </w:t>
      </w:r>
      <w:r w:rsidR="00FF3A04">
        <w:t>A</w:t>
      </w:r>
      <w:r w:rsidR="00513F3F">
        <w:t>rea requirements to help identify opportunities for guidance.</w:t>
      </w:r>
    </w:p>
    <w:p w14:paraId="496D7FE8" w14:textId="03644071" w:rsidR="0007012F" w:rsidRDefault="00F41110">
      <w:r>
        <w:lastRenderedPageBreak/>
        <w:t xml:space="preserve">DERs </w:t>
      </w:r>
      <w:r w:rsidR="009A51F6">
        <w:t>are capable of b</w:t>
      </w:r>
      <w:r>
        <w:t>ring</w:t>
      </w:r>
      <w:r w:rsidR="009A51F6">
        <w:t>ing</w:t>
      </w:r>
      <w:r>
        <w:t xml:space="preserve"> a number of enhancements to reliability.  </w:t>
      </w:r>
      <w:r w:rsidR="00705D28">
        <w:t>As an example, i</w:t>
      </w:r>
      <w:r>
        <w:t xml:space="preserve">nverters, which convert direct current to alternating </w:t>
      </w:r>
      <w:r w:rsidR="00AC73B0">
        <w:t>current,</w:t>
      </w:r>
      <w:r>
        <w:t xml:space="preserve"> </w:t>
      </w:r>
      <w:r w:rsidR="0045750A">
        <w:t>have</w:t>
      </w:r>
      <w:r>
        <w:t xml:space="preserve"> microprocessor based</w:t>
      </w:r>
      <w:r w:rsidR="0045750A">
        <w:t xml:space="preserve"> control systems</w:t>
      </w:r>
      <w:r>
        <w:t xml:space="preserve">. These microprocessors operate with a very high internal clock speed </w:t>
      </w:r>
      <w:r w:rsidR="00705D28">
        <w:t>(on the order of MHz)</w:t>
      </w:r>
      <w:r w:rsidR="004E5AE3">
        <w:t xml:space="preserve"> </w:t>
      </w:r>
      <w:r>
        <w:t xml:space="preserve">and are capable of </w:t>
      </w:r>
      <w:r w:rsidR="007A1CF1">
        <w:t xml:space="preserve">fine resolution </w:t>
      </w:r>
      <w:r>
        <w:t xml:space="preserve">frequency measurement and electronically controlling </w:t>
      </w:r>
      <w:r w:rsidR="0045750A">
        <w:t xml:space="preserve">the </w:t>
      </w:r>
      <w:r w:rsidR="007A1CF1">
        <w:t xml:space="preserve">upward </w:t>
      </w:r>
      <w:r>
        <w:t xml:space="preserve">ramping of </w:t>
      </w:r>
      <w:r w:rsidR="007A1CF1">
        <w:t xml:space="preserve">DER output </w:t>
      </w:r>
      <w:r>
        <w:t xml:space="preserve">and </w:t>
      </w:r>
      <w:r w:rsidR="007A1CF1">
        <w:t xml:space="preserve">downwards ramping of DER output </w:t>
      </w:r>
      <w:r w:rsidR="00AE06C9">
        <w:t>potentially</w:t>
      </w:r>
      <w:r w:rsidR="00705D28">
        <w:t xml:space="preserve"> </w:t>
      </w:r>
      <w:r>
        <w:t xml:space="preserve">ceasing the injection of current into the </w:t>
      </w:r>
      <w:r w:rsidR="00705D28">
        <w:t>electric system</w:t>
      </w:r>
      <w:r>
        <w:t xml:space="preserve"> at very high speeds</w:t>
      </w:r>
      <w:r w:rsidR="007A1CF1">
        <w:t xml:space="preserve"> depending on control decisions</w:t>
      </w:r>
      <w:r>
        <w:t>. Inverters are capable of remaining physically connected</w:t>
      </w:r>
      <w:r w:rsidR="00705D28">
        <w:t xml:space="preserve"> (breaker closed)</w:t>
      </w:r>
      <w:r>
        <w:t xml:space="preserve"> </w:t>
      </w:r>
      <w:r w:rsidR="00705D28">
        <w:t xml:space="preserve">and not injecting current well </w:t>
      </w:r>
      <w:r w:rsidR="00AE06C9">
        <w:t>within</w:t>
      </w:r>
      <w:r w:rsidR="00705D28">
        <w:t xml:space="preserve"> normal 3-5 cycle breaker </w:t>
      </w:r>
      <w:r w:rsidR="004E5AE3">
        <w:t>clearing</w:t>
      </w:r>
      <w:r w:rsidR="00705D28">
        <w:t xml:space="preserve"> times.  This type of response can provide significant reliability benefits</w:t>
      </w:r>
      <w:r w:rsidR="007A1CF1">
        <w:t xml:space="preserve"> if control systems are properly configured to reliably im</w:t>
      </w:r>
      <w:r w:rsidR="00AE06C9">
        <w:t>pl</w:t>
      </w:r>
      <w:r w:rsidR="007A1CF1">
        <w:t xml:space="preserve">ement it. </w:t>
      </w:r>
      <w:r w:rsidR="00AE06C9">
        <w:t>Additionally</w:t>
      </w:r>
      <w:r w:rsidR="00F24DDC">
        <w:t>,</w:t>
      </w:r>
      <w:r w:rsidR="007A1CF1">
        <w:t xml:space="preserve"> for upward ramping</w:t>
      </w:r>
      <w:r w:rsidR="00F24DDC">
        <w:t>,</w:t>
      </w:r>
      <w:r w:rsidR="007A1CF1">
        <w:t xml:space="preserve"> the </w:t>
      </w:r>
      <w:r w:rsidR="00AE06C9">
        <w:t xml:space="preserve">distribution level </w:t>
      </w:r>
      <w:r w:rsidR="00AC73B0">
        <w:t>connected resource</w:t>
      </w:r>
      <w:r w:rsidR="00705D28">
        <w:t xml:space="preserve"> </w:t>
      </w:r>
      <w:r w:rsidR="007A1CF1">
        <w:t>must be</w:t>
      </w:r>
      <w:r w:rsidR="00705D28">
        <w:t xml:space="preserve"> available and </w:t>
      </w:r>
      <w:r w:rsidR="007A1CF1">
        <w:t xml:space="preserve">operate </w:t>
      </w:r>
      <w:r w:rsidR="00AE06C9">
        <w:t>with the</w:t>
      </w:r>
      <w:r w:rsidR="00705D28">
        <w:t xml:space="preserve"> “headroom</w:t>
      </w:r>
      <w:r w:rsidR="00F24DDC">
        <w:t>.</w:t>
      </w:r>
      <w:r w:rsidR="00705D28">
        <w:t xml:space="preserve">”  In order to realize the benefits which DER are capable of to enhance reliability it is important to understand </w:t>
      </w:r>
      <w:r w:rsidR="0045750A">
        <w:t xml:space="preserve">the hosting capacity of the distribution system feeders </w:t>
      </w:r>
      <w:r w:rsidR="00705D28">
        <w:t>where they are being located and the</w:t>
      </w:r>
      <w:r w:rsidR="0045750A">
        <w:t xml:space="preserve"> DER’s</w:t>
      </w:r>
      <w:r w:rsidR="00705D28">
        <w:t xml:space="preserve"> expected capabilities, capacity, and operation.</w:t>
      </w:r>
      <w:r w:rsidR="00AC7D7C">
        <w:t xml:space="preserve">  In addition to improving system response, DER will enhance Resilience</w:t>
      </w:r>
      <w:r w:rsidR="00F22CA2">
        <w:t xml:space="preserve"> by decentralizing generation and affording flexibility during restoration beyond that of normal system restoration plans.</w:t>
      </w:r>
      <w:r w:rsidR="00705D28">
        <w:t xml:space="preserve"> </w:t>
      </w:r>
    </w:p>
    <w:p w14:paraId="08D0BA3B" w14:textId="0BA29C97" w:rsidR="00C41CB6" w:rsidRDefault="00F22CA2" w:rsidP="00765468">
      <w:pPr>
        <w:rPr>
          <w:noProof/>
        </w:rPr>
      </w:pPr>
      <w:r>
        <w:t xml:space="preserve">While DERs present opportunities to enhance reliability, they </w:t>
      </w:r>
      <w:r w:rsidR="00705D28">
        <w:t>also introduce challenges</w:t>
      </w:r>
      <w:r w:rsidR="0045750A">
        <w:t xml:space="preserve"> at the transmission/</w:t>
      </w:r>
      <w:r w:rsidR="006541C8">
        <w:t>distribution interface.</w:t>
      </w:r>
      <w:r w:rsidR="00705D28">
        <w:t xml:space="preserve">  Interoperability with the transmission system </w:t>
      </w:r>
      <w:r w:rsidR="007A1CF1">
        <w:t xml:space="preserve">is not solely determined at the point of interconnection. System needs </w:t>
      </w:r>
      <w:r w:rsidR="00F24DDC">
        <w:t>such as</w:t>
      </w:r>
      <w:r w:rsidR="00705D28">
        <w:t xml:space="preserve"> visibility</w:t>
      </w:r>
      <w:r w:rsidR="007A1CF1">
        <w:t xml:space="preserve"> of generation state is essential for transmission </w:t>
      </w:r>
      <w:r w:rsidR="00AE06C9">
        <w:t>operators</w:t>
      </w:r>
      <w:r w:rsidR="007A1CF1">
        <w:t xml:space="preserve"> to </w:t>
      </w:r>
      <w:r w:rsidR="00AE06C9">
        <w:t>maintain</w:t>
      </w:r>
      <w:r w:rsidR="00705D28">
        <w:t xml:space="preserve"> situational awareness</w:t>
      </w:r>
      <w:r w:rsidR="007A1CF1">
        <w:t xml:space="preserve"> for operations purposes</w:t>
      </w:r>
      <w:r w:rsidR="00AE06C9">
        <w:t>,</w:t>
      </w:r>
      <w:r w:rsidR="007A1CF1">
        <w:t xml:space="preserve"> for</w:t>
      </w:r>
      <w:r w:rsidR="00705D28">
        <w:t xml:space="preserve"> </w:t>
      </w:r>
      <w:r w:rsidR="00AE06C9" w:rsidRPr="00AE06C9">
        <w:t xml:space="preserve">forecasting </w:t>
      </w:r>
      <w:r w:rsidR="00AE06C9">
        <w:t xml:space="preserve">and </w:t>
      </w:r>
      <w:r w:rsidR="00705D28">
        <w:t>integrated system planning</w:t>
      </w:r>
      <w:r w:rsidR="00AE06C9">
        <w:t xml:space="preserve"> to</w:t>
      </w:r>
      <w:r w:rsidR="00C41CB6">
        <w:t xml:space="preserve"> </w:t>
      </w:r>
      <w:r w:rsidR="00705D28">
        <w:t>ensure reliability is maintained.</w:t>
      </w:r>
      <w:r w:rsidR="00AC7D7C">
        <w:t xml:space="preserve">  Presently there are no study tools</w:t>
      </w:r>
      <w:r w:rsidR="00AE06C9">
        <w:t xml:space="preserve"> in general use</w:t>
      </w:r>
      <w:r w:rsidR="00AC7D7C">
        <w:t xml:space="preserve"> to perform </w:t>
      </w:r>
      <w:r w:rsidR="0028737E">
        <w:t xml:space="preserve">fully integrated </w:t>
      </w:r>
      <w:r w:rsidR="00AC7D7C">
        <w:t xml:space="preserve">studies </w:t>
      </w:r>
      <w:r w:rsidR="0028737E">
        <w:t xml:space="preserve">of transmission and distribution </w:t>
      </w:r>
      <w:r w:rsidR="00AC7D7C">
        <w:t xml:space="preserve">which would allow </w:t>
      </w:r>
      <w:r w:rsidR="0028737E">
        <w:t>both systems</w:t>
      </w:r>
      <w:r w:rsidR="00AC7D7C">
        <w:t xml:space="preserve"> to be modeled and studied </w:t>
      </w:r>
      <w:r w:rsidR="00AE06C9">
        <w:t xml:space="preserve">(in steady state and dynamically) </w:t>
      </w:r>
      <w:r w:rsidR="00AC7D7C">
        <w:t>together</w:t>
      </w:r>
      <w:r>
        <w:t>, although work is underway in this regard</w:t>
      </w:r>
      <w:r w:rsidR="00AC7D7C">
        <w:t>.</w:t>
      </w:r>
    </w:p>
    <w:p w14:paraId="4A851FD5" w14:textId="36AC40D6" w:rsidR="00765468" w:rsidRPr="005B1611" w:rsidRDefault="00AC7D7C" w:rsidP="00765468">
      <w:r>
        <w:rPr>
          <w:noProof/>
        </w:rPr>
        <w:t>In recognition of both benefits and challenges</w:t>
      </w:r>
      <w:r w:rsidR="00F22CA2">
        <w:rPr>
          <w:noProof/>
        </w:rPr>
        <w:t>,</w:t>
      </w:r>
      <w:r>
        <w:rPr>
          <w:noProof/>
        </w:rPr>
        <w:t xml:space="preserve"> the approach taken with this first NPCC DER </w:t>
      </w:r>
      <w:r w:rsidR="00B90904">
        <w:rPr>
          <w:noProof/>
        </w:rPr>
        <w:t xml:space="preserve">                                                      </w:t>
      </w:r>
      <w:r>
        <w:rPr>
          <w:noProof/>
        </w:rPr>
        <w:t xml:space="preserve">guidance document was to collect interconnection requirements within the NPCC </w:t>
      </w:r>
      <w:r w:rsidR="00C41CB6">
        <w:rPr>
          <w:noProof/>
        </w:rPr>
        <w:t>Region</w:t>
      </w:r>
      <w:r>
        <w:rPr>
          <w:noProof/>
        </w:rPr>
        <w:t xml:space="preserve"> as well as in other areas of the </w:t>
      </w:r>
      <w:r w:rsidR="00C41CB6">
        <w:rPr>
          <w:noProof/>
        </w:rPr>
        <w:t>NERC Electric Reliability Organization (</w:t>
      </w:r>
      <w:r w:rsidR="006541C8">
        <w:rPr>
          <w:noProof/>
        </w:rPr>
        <w:t>ERO</w:t>
      </w:r>
      <w:r w:rsidR="00C41CB6">
        <w:rPr>
          <w:noProof/>
        </w:rPr>
        <w:t>) Enterprise</w:t>
      </w:r>
      <w:r w:rsidR="006541C8">
        <w:rPr>
          <w:noProof/>
        </w:rPr>
        <w:t>.</w:t>
      </w:r>
      <w:r>
        <w:rPr>
          <w:noProof/>
        </w:rPr>
        <w:t xml:space="preserve">  </w:t>
      </w:r>
      <w:r w:rsidR="00CB58E9">
        <w:rPr>
          <w:noProof/>
        </w:rPr>
        <w:t xml:space="preserve">There are some specific issues where opportunity exists to ensure coordination across the NPCC Region.  </w:t>
      </w:r>
      <w:r>
        <w:rPr>
          <w:noProof/>
        </w:rPr>
        <w:t>The intent</w:t>
      </w:r>
      <w:r w:rsidR="00C41CB6">
        <w:rPr>
          <w:noProof/>
        </w:rPr>
        <w:t xml:space="preserve"> of this document</w:t>
      </w:r>
      <w:r>
        <w:rPr>
          <w:noProof/>
        </w:rPr>
        <w:t xml:space="preserve"> is to </w:t>
      </w:r>
      <w:r w:rsidR="00AE06C9">
        <w:rPr>
          <w:noProof/>
        </w:rPr>
        <w:t xml:space="preserve">identify risks and </w:t>
      </w:r>
      <w:r>
        <w:rPr>
          <w:noProof/>
        </w:rPr>
        <w:t>establish guidance</w:t>
      </w:r>
      <w:r w:rsidR="00CB58E9">
        <w:rPr>
          <w:noProof/>
        </w:rPr>
        <w:t>, where possible,</w:t>
      </w:r>
      <w:r>
        <w:rPr>
          <w:noProof/>
        </w:rPr>
        <w:t xml:space="preserve"> for interconnection </w:t>
      </w:r>
      <w:r w:rsidR="00AE06C9">
        <w:rPr>
          <w:noProof/>
        </w:rPr>
        <w:t>of DER. NPCC will</w:t>
      </w:r>
      <w:r>
        <w:rPr>
          <w:noProof/>
        </w:rPr>
        <w:t xml:space="preserve"> leverage existing requirements </w:t>
      </w:r>
      <w:r w:rsidR="00AE06C9">
        <w:rPr>
          <w:noProof/>
        </w:rPr>
        <w:t>and proposed mo</w:t>
      </w:r>
      <w:r w:rsidR="00F24DDC">
        <w:rPr>
          <w:noProof/>
        </w:rPr>
        <w:t>di</w:t>
      </w:r>
      <w:r w:rsidR="00AE06C9">
        <w:rPr>
          <w:noProof/>
        </w:rPr>
        <w:t>ficat</w:t>
      </w:r>
      <w:r w:rsidR="00F24DDC">
        <w:rPr>
          <w:noProof/>
        </w:rPr>
        <w:t>i</w:t>
      </w:r>
      <w:r w:rsidR="00AE06C9">
        <w:rPr>
          <w:noProof/>
        </w:rPr>
        <w:t>ons fo</w:t>
      </w:r>
      <w:r w:rsidR="00F24DDC">
        <w:rPr>
          <w:noProof/>
        </w:rPr>
        <w:t>r</w:t>
      </w:r>
      <w:r w:rsidR="00AE06C9">
        <w:rPr>
          <w:noProof/>
        </w:rPr>
        <w:t xml:space="preserve"> processes </w:t>
      </w:r>
      <w:r>
        <w:rPr>
          <w:noProof/>
        </w:rPr>
        <w:t>for a</w:t>
      </w:r>
      <w:r w:rsidR="00C41CB6">
        <w:rPr>
          <w:noProof/>
        </w:rPr>
        <w:t xml:space="preserve"> NPCC</w:t>
      </w:r>
      <w:r>
        <w:rPr>
          <w:noProof/>
        </w:rPr>
        <w:t xml:space="preserve"> Region-wide approach to interconnecting DER to distribution systems</w:t>
      </w:r>
      <w:r w:rsidR="00AE06C9">
        <w:rPr>
          <w:noProof/>
        </w:rPr>
        <w:t xml:space="preserve"> and reliably operating DER in conjunction with the BES.</w:t>
      </w:r>
      <w:r>
        <w:rPr>
          <w:noProof/>
        </w:rPr>
        <w:t xml:space="preserve">  It must be recognized that DERs may not be placed optimally and in areas where deliverability to load may not be ideal.  In this respect any specific </w:t>
      </w:r>
      <w:r w:rsidR="00AE06C9">
        <w:rPr>
          <w:noProof/>
        </w:rPr>
        <w:t>recomendations</w:t>
      </w:r>
      <w:r>
        <w:rPr>
          <w:noProof/>
        </w:rPr>
        <w:t xml:space="preserve"> in this document will be subject to </w:t>
      </w:r>
      <w:r w:rsidR="00C41CB6">
        <w:rPr>
          <w:noProof/>
        </w:rPr>
        <w:t>the</w:t>
      </w:r>
      <w:r>
        <w:rPr>
          <w:noProof/>
        </w:rPr>
        <w:t xml:space="preserve"> requirements  </w:t>
      </w:r>
      <w:r w:rsidR="00C41CB6">
        <w:rPr>
          <w:noProof/>
        </w:rPr>
        <w:t>of</w:t>
      </w:r>
      <w:r>
        <w:rPr>
          <w:noProof/>
        </w:rPr>
        <w:t xml:space="preserve"> </w:t>
      </w:r>
      <w:r w:rsidR="00C41CB6">
        <w:rPr>
          <w:noProof/>
        </w:rPr>
        <w:t>the</w:t>
      </w:r>
      <w:r>
        <w:rPr>
          <w:noProof/>
        </w:rPr>
        <w:t xml:space="preserve"> interconnecting </w:t>
      </w:r>
      <w:r w:rsidR="00C41CB6">
        <w:rPr>
          <w:noProof/>
        </w:rPr>
        <w:t>d</w:t>
      </w:r>
      <w:r>
        <w:rPr>
          <w:noProof/>
        </w:rPr>
        <w:t xml:space="preserve">istribution </w:t>
      </w:r>
      <w:r w:rsidR="00C41CB6">
        <w:rPr>
          <w:noProof/>
        </w:rPr>
        <w:t>utilit</w:t>
      </w:r>
      <w:r w:rsidR="00F24DDC">
        <w:rPr>
          <w:noProof/>
        </w:rPr>
        <w:t>y</w:t>
      </w:r>
      <w:r w:rsidR="00925D34">
        <w:rPr>
          <w:noProof/>
        </w:rPr>
        <w:t>.</w:t>
      </w:r>
    </w:p>
    <w:p w14:paraId="70230345" w14:textId="77777777" w:rsidR="001C3543" w:rsidRDefault="007E766B" w:rsidP="007E766B">
      <w:pPr>
        <w:pStyle w:val="Heading1"/>
        <w:spacing w:line="480" w:lineRule="auto"/>
      </w:pPr>
      <w:bookmarkStart w:id="6" w:name="_Toc516650264"/>
      <w:bookmarkStart w:id="7" w:name="_Toc10106972"/>
      <w:r>
        <w:t>N</w:t>
      </w:r>
      <w:r w:rsidR="00A01CB5">
        <w:t xml:space="preserve">PCC Reliability </w:t>
      </w:r>
      <w:r w:rsidR="001C3543">
        <w:t>Principles</w:t>
      </w:r>
      <w:bookmarkEnd w:id="6"/>
      <w:bookmarkEnd w:id="7"/>
      <w:r w:rsidR="001C3543">
        <w:t xml:space="preserve"> </w:t>
      </w:r>
    </w:p>
    <w:p w14:paraId="0A41668E" w14:textId="77777777" w:rsidR="00925D34" w:rsidRDefault="004B63ED" w:rsidP="00DE46F8">
      <w:r>
        <w:t xml:space="preserve">Using its </w:t>
      </w:r>
      <w:r w:rsidR="00C90977">
        <w:t xml:space="preserve">membership structure and governance </w:t>
      </w:r>
      <w:r>
        <w:t>authority to create and apply Regional Criteria</w:t>
      </w:r>
      <w:r>
        <w:rPr>
          <w:rStyle w:val="FootnoteReference"/>
        </w:rPr>
        <w:footnoteReference w:id="2"/>
      </w:r>
      <w:r>
        <w:t xml:space="preserve">, </w:t>
      </w:r>
      <w:r w:rsidR="00CF3F53" w:rsidRPr="00CF3F53">
        <w:t xml:space="preserve">NPCC </w:t>
      </w:r>
      <w:r w:rsidR="006C0BD9">
        <w:t>M</w:t>
      </w:r>
      <w:r w:rsidR="00C90977">
        <w:t>ember</w:t>
      </w:r>
      <w:r w:rsidR="00677F1E">
        <w:t xml:space="preserve"> adherence to </w:t>
      </w:r>
      <w:r w:rsidR="00B84935">
        <w:t xml:space="preserve">Regional criteria contributes to a more robust level of reliability </w:t>
      </w:r>
      <w:r w:rsidR="00CF3F53" w:rsidRPr="00CF3F53">
        <w:t xml:space="preserve">beyond </w:t>
      </w:r>
      <w:r w:rsidR="00925D34">
        <w:t xml:space="preserve">NERC </w:t>
      </w:r>
      <w:r w:rsidR="00CF3F53" w:rsidRPr="00CF3F53">
        <w:lastRenderedPageBreak/>
        <w:t xml:space="preserve">ERO reliability </w:t>
      </w:r>
      <w:r w:rsidR="003954D5">
        <w:t>“</w:t>
      </w:r>
      <w:r w:rsidR="00CF3F53" w:rsidRPr="00D15D1F">
        <w:rPr>
          <w:noProof/>
        </w:rPr>
        <w:t>results</w:t>
      </w:r>
      <w:r w:rsidR="00A676C1">
        <w:rPr>
          <w:noProof/>
        </w:rPr>
        <w:t>-</w:t>
      </w:r>
      <w:r w:rsidR="00CF3F53" w:rsidRPr="00D15D1F">
        <w:rPr>
          <w:noProof/>
        </w:rPr>
        <w:t>based</w:t>
      </w:r>
      <w:r w:rsidR="003954D5">
        <w:t>”</w:t>
      </w:r>
      <w:r w:rsidR="00D15DEB">
        <w:t xml:space="preserve"> </w:t>
      </w:r>
      <w:r w:rsidR="00925D34">
        <w:t xml:space="preserve">standards / </w:t>
      </w:r>
      <w:r w:rsidR="00AD3AC6" w:rsidRPr="00CF3F53">
        <w:t>requirements</w:t>
      </w:r>
      <w:r w:rsidR="009C0E3D">
        <w:t>.</w:t>
      </w:r>
      <w:r w:rsidR="00CF3F53" w:rsidRPr="00CF3F53">
        <w:t xml:space="preserve"> </w:t>
      </w:r>
      <w:r w:rsidR="00925D34">
        <w:t xml:space="preserve"> </w:t>
      </w:r>
      <w:r w:rsidR="00696F04">
        <w:t xml:space="preserve">For </w:t>
      </w:r>
      <w:r w:rsidR="00696F04" w:rsidRPr="0036379F">
        <w:rPr>
          <w:noProof/>
        </w:rPr>
        <w:t>example</w:t>
      </w:r>
      <w:r w:rsidR="00E621DD">
        <w:rPr>
          <w:noProof/>
        </w:rPr>
        <w:t>,</w:t>
      </w:r>
      <w:r w:rsidR="00696F04">
        <w:t xml:space="preserve"> </w:t>
      </w:r>
      <w:r w:rsidR="00CF3F53" w:rsidRPr="00CF3F53">
        <w:t xml:space="preserve">NPCC Criteria mandate specific design requirements for </w:t>
      </w:r>
      <w:r w:rsidR="00687D11">
        <w:t xml:space="preserve">assets in </w:t>
      </w:r>
      <w:r w:rsidR="00CF3F53" w:rsidRPr="00CF3F53">
        <w:t xml:space="preserve">NPCC </w:t>
      </w:r>
      <w:r w:rsidR="00BE581F">
        <w:t>M</w:t>
      </w:r>
      <w:r w:rsidR="00CF3F53" w:rsidRPr="00CF3F53">
        <w:t xml:space="preserve">ember </w:t>
      </w:r>
      <w:r w:rsidR="00192772" w:rsidRPr="0036379F">
        <w:rPr>
          <w:noProof/>
        </w:rPr>
        <w:t>facilities</w:t>
      </w:r>
      <w:r w:rsidR="00CF3F53" w:rsidRPr="00CF3F53">
        <w:t xml:space="preserve">. </w:t>
      </w:r>
      <w:r w:rsidR="00F164A0" w:rsidRPr="00356A52">
        <w:t>NPCC‘s</w:t>
      </w:r>
      <w:r w:rsidR="009C2C27">
        <w:t xml:space="preserve"> </w:t>
      </w:r>
      <w:r w:rsidR="00CA1D35">
        <w:t>approach to reliability and resilience can be summarized in</w:t>
      </w:r>
      <w:r w:rsidR="009C2C27">
        <w:t xml:space="preserve"> </w:t>
      </w:r>
      <w:r w:rsidR="003954D5">
        <w:t>P</w:t>
      </w:r>
      <w:r w:rsidR="009C2C27">
        <w:t xml:space="preserve">rinciples </w:t>
      </w:r>
      <w:r w:rsidR="00CA1D35">
        <w:t>that guide</w:t>
      </w:r>
      <w:r w:rsidR="008E46F3">
        <w:t xml:space="preserve"> </w:t>
      </w:r>
      <w:r w:rsidR="00CA1D35">
        <w:t xml:space="preserve">NPCC </w:t>
      </w:r>
      <w:r w:rsidR="008E46F3">
        <w:t>Members in the</w:t>
      </w:r>
      <w:r w:rsidR="00765468">
        <w:t>ir</w:t>
      </w:r>
      <w:r w:rsidR="008E46F3">
        <w:t xml:space="preserve"> effort to </w:t>
      </w:r>
      <w:r w:rsidR="002151EA">
        <w:t xml:space="preserve">meet or </w:t>
      </w:r>
      <w:r w:rsidR="00B323DC">
        <w:t>exceed NERC requirements.</w:t>
      </w:r>
      <w:r w:rsidR="008E46F3">
        <w:t xml:space="preserve"> </w:t>
      </w:r>
      <w:r w:rsidR="00D6395E">
        <w:t xml:space="preserve"> </w:t>
      </w:r>
      <w:r w:rsidR="00DC50DD">
        <w:t>NPCC’s core Reliability Principles and supporting activities support the NERC Bulk Electric System and NPCC’s Bulk Power System reliability.</w:t>
      </w:r>
    </w:p>
    <w:p w14:paraId="0A080C10" w14:textId="77777777" w:rsidR="00191492" w:rsidRDefault="00DC50DD" w:rsidP="00DE46F8">
      <w:r>
        <w:t xml:space="preserve">Also recognized is the critical role that DER will have with respect to reliability and resilience of the Bulk Electric System.  </w:t>
      </w:r>
      <w:r w:rsidR="00453826">
        <w:t>Specifically, DER can contribute to the Robustness of the system and provide increased resource support within islands during any system separations.</w:t>
      </w:r>
      <w:r w:rsidR="00677F1E">
        <w:t xml:space="preserve"> As DER continues to penetrate the system changes to NPCC’s Underfrequency Load Shedding program may be required.</w:t>
      </w:r>
    </w:p>
    <w:p w14:paraId="71C3774F" w14:textId="77777777" w:rsidR="001C3543" w:rsidRDefault="001C3543" w:rsidP="00DE46F8">
      <w:r w:rsidRPr="00356A52">
        <w:t>The</w:t>
      </w:r>
      <w:r w:rsidR="006852D4">
        <w:t xml:space="preserve"> </w:t>
      </w:r>
      <w:r w:rsidR="00AC39A8">
        <w:t xml:space="preserve">NPCC </w:t>
      </w:r>
      <w:r w:rsidR="00DC50DD">
        <w:t>R</w:t>
      </w:r>
      <w:r w:rsidR="00AC39A8">
        <w:t xml:space="preserve">eliability </w:t>
      </w:r>
      <w:r w:rsidR="003954D5">
        <w:t>P</w:t>
      </w:r>
      <w:r w:rsidR="00D97A1B">
        <w:t>rinciples</w:t>
      </w:r>
      <w:r w:rsidR="006852D4">
        <w:t xml:space="preserve"> </w:t>
      </w:r>
      <w:r w:rsidR="00D97A1B">
        <w:t>include</w:t>
      </w:r>
      <w:r w:rsidRPr="00356A52">
        <w:t>:</w:t>
      </w:r>
    </w:p>
    <w:p w14:paraId="72C5060F" w14:textId="77777777" w:rsidR="0075257F" w:rsidRPr="0075257F" w:rsidRDefault="003908E7" w:rsidP="0075257F">
      <w:pPr>
        <w:pStyle w:val="ListParagraph"/>
        <w:numPr>
          <w:ilvl w:val="0"/>
          <w:numId w:val="4"/>
        </w:numPr>
      </w:pPr>
      <w:r w:rsidRPr="005B1611">
        <w:rPr>
          <w:b/>
        </w:rPr>
        <w:t>Focus on the most important system components</w:t>
      </w:r>
      <w:r>
        <w:t xml:space="preserve">: </w:t>
      </w:r>
      <w:r w:rsidR="0075257F" w:rsidRPr="0075257F">
        <w:t>In order to focus resources to those portions of the power delivery system most important</w:t>
      </w:r>
      <w:r w:rsidR="00696F04">
        <w:t xml:space="preserve"> (</w:t>
      </w:r>
      <w:r w:rsidR="00192772">
        <w:t>critical</w:t>
      </w:r>
      <w:r w:rsidR="00696F04">
        <w:t>)</w:t>
      </w:r>
      <w:r w:rsidR="0075257F" w:rsidRPr="0075257F">
        <w:t xml:space="preserve"> to overall reliability, NPCC </w:t>
      </w:r>
      <w:r w:rsidR="00645D65" w:rsidRPr="0075257F">
        <w:t>Members employ</w:t>
      </w:r>
      <w:r w:rsidR="0075257F" w:rsidRPr="0075257F">
        <w:t xml:space="preserve"> mechanism</w:t>
      </w:r>
      <w:r w:rsidR="00696F04">
        <w:t xml:space="preserve">(s) </w:t>
      </w:r>
      <w:r w:rsidR="0075257F" w:rsidRPr="0075257F">
        <w:t>for identifying th</w:t>
      </w:r>
      <w:r w:rsidR="002151EA">
        <w:t>ose</w:t>
      </w:r>
      <w:r w:rsidR="0075257F" w:rsidRPr="0075257F">
        <w:t xml:space="preserve"> facilities </w:t>
      </w:r>
      <w:r w:rsidR="002151EA">
        <w:t xml:space="preserve">that are </w:t>
      </w:r>
      <w:r w:rsidR="0075257F" w:rsidRPr="0075257F">
        <w:t>most critical to the reliable planning and operation of the power delivery assets in the NPCC region</w:t>
      </w:r>
      <w:r w:rsidR="00CF3F53">
        <w:rPr>
          <w:rStyle w:val="FootnoteReference"/>
        </w:rPr>
        <w:footnoteReference w:id="3"/>
      </w:r>
      <w:r w:rsidR="0075257F" w:rsidRPr="0075257F">
        <w:t>.</w:t>
      </w:r>
      <w:r w:rsidR="00645D65">
        <w:t xml:space="preserve"> Th</w:t>
      </w:r>
      <w:r w:rsidR="00191492">
        <w:t xml:space="preserve">ese critical </w:t>
      </w:r>
      <w:r w:rsidR="001F1C38">
        <w:t>facilities</w:t>
      </w:r>
      <w:r w:rsidR="00191492">
        <w:t xml:space="preserve"> </w:t>
      </w:r>
      <w:r w:rsidR="002151EA">
        <w:t xml:space="preserve">collectively </w:t>
      </w:r>
      <w:r w:rsidR="00191492">
        <w:t xml:space="preserve">are identified as the </w:t>
      </w:r>
      <w:r w:rsidR="00645D65">
        <w:t xml:space="preserve">NPCC </w:t>
      </w:r>
      <w:r w:rsidR="00BE581F">
        <w:t>B</w:t>
      </w:r>
      <w:r w:rsidR="00645D65">
        <w:t xml:space="preserve">ulk </w:t>
      </w:r>
      <w:r w:rsidR="00BE581F">
        <w:t>P</w:t>
      </w:r>
      <w:r w:rsidR="00645D65">
        <w:t xml:space="preserve">ower </w:t>
      </w:r>
      <w:r w:rsidR="00BE581F">
        <w:t>S</w:t>
      </w:r>
      <w:r w:rsidR="00645D65">
        <w:t>ystem</w:t>
      </w:r>
      <w:r w:rsidR="00191492">
        <w:rPr>
          <w:rStyle w:val="FootnoteReference"/>
        </w:rPr>
        <w:footnoteReference w:id="4"/>
      </w:r>
      <w:r w:rsidR="007F3F15">
        <w:rPr>
          <w:rStyle w:val="FootnoteReference"/>
        </w:rPr>
        <w:footnoteReference w:id="5"/>
      </w:r>
      <w:r w:rsidR="00645D65">
        <w:t>.</w:t>
      </w:r>
    </w:p>
    <w:p w14:paraId="0B86711A" w14:textId="77777777" w:rsidR="00EC10A5" w:rsidRPr="00EC10A5" w:rsidRDefault="006E3736" w:rsidP="00EC10A5">
      <w:pPr>
        <w:pStyle w:val="ListParagraph"/>
        <w:numPr>
          <w:ilvl w:val="0"/>
          <w:numId w:val="4"/>
        </w:numPr>
      </w:pPr>
      <w:r>
        <w:rPr>
          <w:b/>
        </w:rPr>
        <w:t>Application of</w:t>
      </w:r>
      <w:r w:rsidR="003908E7" w:rsidRPr="005B1611">
        <w:rPr>
          <w:b/>
        </w:rPr>
        <w:t xml:space="preserve"> Criteria</w:t>
      </w:r>
      <w:r w:rsidR="003908E7">
        <w:rPr>
          <w:b/>
        </w:rPr>
        <w:t xml:space="preserve"> </w:t>
      </w:r>
      <w:r w:rsidR="0052158A">
        <w:rPr>
          <w:b/>
        </w:rPr>
        <w:t xml:space="preserve">beyond NERC requirements </w:t>
      </w:r>
      <w:r w:rsidR="003908E7">
        <w:rPr>
          <w:b/>
        </w:rPr>
        <w:t xml:space="preserve">to </w:t>
      </w:r>
      <w:r>
        <w:rPr>
          <w:b/>
        </w:rPr>
        <w:t xml:space="preserve">identified </w:t>
      </w:r>
      <w:r w:rsidR="003908E7">
        <w:rPr>
          <w:b/>
        </w:rPr>
        <w:t xml:space="preserve">critical </w:t>
      </w:r>
      <w:r w:rsidR="00765468">
        <w:rPr>
          <w:b/>
        </w:rPr>
        <w:t>facilities</w:t>
      </w:r>
      <w:r w:rsidR="003908E7">
        <w:t xml:space="preserve">: </w:t>
      </w:r>
      <w:r w:rsidR="00EC10A5" w:rsidRPr="00EC10A5">
        <w:t>Where</w:t>
      </w:r>
      <w:r w:rsidR="00AC39A8">
        <w:t>,</w:t>
      </w:r>
      <w:r w:rsidR="00EC10A5" w:rsidRPr="00EC10A5">
        <w:t xml:space="preserve"> </w:t>
      </w:r>
      <w:r w:rsidR="006852D4">
        <w:t>in the opinion of NPCC’s Membership</w:t>
      </w:r>
      <w:r w:rsidR="00AC39A8">
        <w:t>,</w:t>
      </w:r>
      <w:r w:rsidR="006852D4">
        <w:t xml:space="preserve"> the </w:t>
      </w:r>
      <w:r w:rsidR="00EC10A5" w:rsidRPr="00EC10A5">
        <w:t xml:space="preserve">NERC standards do not </w:t>
      </w:r>
      <w:r w:rsidR="00A01CB5">
        <w:t xml:space="preserve">adequately </w:t>
      </w:r>
      <w:r w:rsidR="006852D4">
        <w:t xml:space="preserve">specify </w:t>
      </w:r>
      <w:r w:rsidR="00EC10A5" w:rsidRPr="00EC10A5">
        <w:t xml:space="preserve">a </w:t>
      </w:r>
      <w:r w:rsidR="00EC10A5">
        <w:t xml:space="preserve">necessary </w:t>
      </w:r>
      <w:r w:rsidR="00EC10A5" w:rsidRPr="00EC10A5">
        <w:t xml:space="preserve">performance or </w:t>
      </w:r>
      <w:r w:rsidR="0075257F" w:rsidRPr="00EC10A5">
        <w:t>design</w:t>
      </w:r>
      <w:r w:rsidR="0075257F">
        <w:t xml:space="preserve"> outcome in a given </w:t>
      </w:r>
      <w:r w:rsidR="00A676C1">
        <w:t>technical</w:t>
      </w:r>
      <w:r w:rsidR="00A676C1" w:rsidRPr="00EC10A5">
        <w:t>,</w:t>
      </w:r>
      <w:r w:rsidR="007F7CCD">
        <w:t xml:space="preserve"> operation or planning area</w:t>
      </w:r>
      <w:r w:rsidR="00EC10A5" w:rsidRPr="00EC10A5">
        <w:t xml:space="preserve">, NPCC Criteria govern the </w:t>
      </w:r>
      <w:r w:rsidR="007D19F2">
        <w:t>design of the</w:t>
      </w:r>
      <w:r w:rsidR="002F03AC">
        <w:t>ir respective portions of the</w:t>
      </w:r>
      <w:r w:rsidR="007D19F2">
        <w:t xml:space="preserve"> </w:t>
      </w:r>
      <w:r w:rsidR="00EC10A5" w:rsidRPr="00EC10A5">
        <w:t xml:space="preserve">NPCC </w:t>
      </w:r>
      <w:r w:rsidR="00BE581F">
        <w:t>B</w:t>
      </w:r>
      <w:r w:rsidR="00EC10A5" w:rsidRPr="00EC10A5">
        <w:t xml:space="preserve">ulk </w:t>
      </w:r>
      <w:r w:rsidR="00BE581F">
        <w:t>P</w:t>
      </w:r>
      <w:r w:rsidR="00EC10A5" w:rsidRPr="00EC10A5">
        <w:t xml:space="preserve">ower </w:t>
      </w:r>
      <w:r w:rsidR="00BE581F">
        <w:t>S</w:t>
      </w:r>
      <w:r w:rsidR="00EC10A5" w:rsidRPr="00EC10A5">
        <w:t xml:space="preserve">ystem </w:t>
      </w:r>
      <w:r w:rsidR="0052158A">
        <w:t>planning</w:t>
      </w:r>
      <w:r w:rsidR="00EC10A5" w:rsidRPr="00EC10A5">
        <w:t xml:space="preserve"> and operation</w:t>
      </w:r>
      <w:r w:rsidR="00D32605">
        <w:rPr>
          <w:rStyle w:val="FootnoteReference"/>
        </w:rPr>
        <w:footnoteReference w:id="6"/>
      </w:r>
      <w:r w:rsidR="002F03AC">
        <w:t xml:space="preserve"> activities</w:t>
      </w:r>
      <w:r w:rsidR="00EC10A5" w:rsidRPr="00EC10A5">
        <w:t>.</w:t>
      </w:r>
    </w:p>
    <w:p w14:paraId="3FADAB77" w14:textId="77777777" w:rsidR="001C3543" w:rsidRDefault="003908E7" w:rsidP="00DE46F8">
      <w:pPr>
        <w:pStyle w:val="ListParagraph"/>
        <w:numPr>
          <w:ilvl w:val="0"/>
          <w:numId w:val="4"/>
        </w:numPr>
      </w:pPr>
      <w:r w:rsidRPr="005B1611">
        <w:rPr>
          <w:b/>
        </w:rPr>
        <w:t>NPCC Members support the Criteria</w:t>
      </w:r>
      <w:r>
        <w:t xml:space="preserve">: </w:t>
      </w:r>
      <w:r w:rsidR="00697457">
        <w:t>NPCC’s</w:t>
      </w:r>
      <w:r w:rsidR="001C3543">
        <w:t xml:space="preserve"> Full Members </w:t>
      </w:r>
      <w:r w:rsidR="00005FE7">
        <w:t>in accordance with the NPCC By</w:t>
      </w:r>
      <w:r w:rsidR="008D21AC">
        <w:t>laws</w:t>
      </w:r>
      <w:r w:rsidR="00005FE7">
        <w:t xml:space="preserve"> </w:t>
      </w:r>
      <w:r w:rsidR="00645D65">
        <w:t>are committed to designing</w:t>
      </w:r>
      <w:r w:rsidR="0075257F">
        <w:t xml:space="preserve"> and operat</w:t>
      </w:r>
      <w:r w:rsidR="00645D65">
        <w:t>ing</w:t>
      </w:r>
      <w:r w:rsidR="0075257F">
        <w:t xml:space="preserve"> their systems to meet the NPCC Criteria</w:t>
      </w:r>
      <w:r w:rsidR="0052158A">
        <w:t xml:space="preserve"> under peer review of </w:t>
      </w:r>
      <w:r w:rsidR="008D21AC">
        <w:t xml:space="preserve">the </w:t>
      </w:r>
      <w:r w:rsidR="007F7CCD">
        <w:t xml:space="preserve">NPCC </w:t>
      </w:r>
      <w:r w:rsidR="008D21AC">
        <w:t xml:space="preserve">Full </w:t>
      </w:r>
      <w:r w:rsidR="0052158A">
        <w:t>Members.</w:t>
      </w:r>
    </w:p>
    <w:p w14:paraId="0497D6D7" w14:textId="77777777" w:rsidR="001C3543" w:rsidRDefault="003908E7" w:rsidP="00DE46F8">
      <w:pPr>
        <w:pStyle w:val="ListParagraph"/>
        <w:numPr>
          <w:ilvl w:val="0"/>
          <w:numId w:val="4"/>
        </w:numPr>
      </w:pPr>
      <w:r w:rsidRPr="005B1611">
        <w:rPr>
          <w:b/>
        </w:rPr>
        <w:t>No conflict with NERC Requirements</w:t>
      </w:r>
      <w:r>
        <w:t xml:space="preserve">: </w:t>
      </w:r>
      <w:r w:rsidR="00DE46F8">
        <w:t xml:space="preserve">The </w:t>
      </w:r>
      <w:r w:rsidR="00A01CB5">
        <w:t xml:space="preserve">NPCC </w:t>
      </w:r>
      <w:r w:rsidR="00DE46F8" w:rsidRPr="005B1611">
        <w:rPr>
          <w:noProof/>
        </w:rPr>
        <w:t>Criteria supplement</w:t>
      </w:r>
      <w:r w:rsidR="00A01CB5">
        <w:t xml:space="preserve">, improve </w:t>
      </w:r>
      <w:r w:rsidR="00A01CB5" w:rsidRPr="005B1611">
        <w:rPr>
          <w:noProof/>
        </w:rPr>
        <w:t>upon</w:t>
      </w:r>
      <w:r w:rsidR="00DE46F8">
        <w:t xml:space="preserve"> </w:t>
      </w:r>
      <w:r w:rsidR="00A41169">
        <w:t>where necessary</w:t>
      </w:r>
      <w:r w:rsidR="00A16B93">
        <w:t>, benefi</w:t>
      </w:r>
      <w:r w:rsidR="003550D5">
        <w:t>t</w:t>
      </w:r>
      <w:r w:rsidR="00696F04" w:rsidRPr="00E808A1">
        <w:rPr>
          <w:noProof/>
        </w:rPr>
        <w:t>,</w:t>
      </w:r>
      <w:r w:rsidR="00696F04">
        <w:t xml:space="preserve"> </w:t>
      </w:r>
      <w:r w:rsidR="007D19F2">
        <w:t xml:space="preserve">and do </w:t>
      </w:r>
      <w:r w:rsidR="00DE46F8">
        <w:t>not conflict with or duplicate</w:t>
      </w:r>
      <w:r w:rsidR="001C3543">
        <w:t xml:space="preserve"> </w:t>
      </w:r>
      <w:r w:rsidR="00F54D9D">
        <w:t xml:space="preserve">the </w:t>
      </w:r>
      <w:r w:rsidR="00AB2A7B">
        <w:t>results-based</w:t>
      </w:r>
      <w:r w:rsidR="00F54D9D">
        <w:t xml:space="preserve"> </w:t>
      </w:r>
      <w:r w:rsidR="001C3543">
        <w:t>performance</w:t>
      </w:r>
      <w:r w:rsidR="00DE46F8">
        <w:t xml:space="preserve"> requirements of</w:t>
      </w:r>
      <w:r w:rsidR="001C3543">
        <w:t xml:space="preserve"> NERC</w:t>
      </w:r>
      <w:r w:rsidR="004D1F36">
        <w:t xml:space="preserve"> standards</w:t>
      </w:r>
      <w:r w:rsidR="0052158A">
        <w:t xml:space="preserve"> </w:t>
      </w:r>
      <w:r w:rsidR="006E3736">
        <w:t>where they apply to the</w:t>
      </w:r>
      <w:r w:rsidR="0052158A">
        <w:t xml:space="preserve"> NPCC </w:t>
      </w:r>
      <w:r w:rsidR="00BE581F">
        <w:t>B</w:t>
      </w:r>
      <w:r w:rsidR="0052158A">
        <w:t xml:space="preserve">ulk </w:t>
      </w:r>
      <w:r w:rsidR="00BE581F">
        <w:t>P</w:t>
      </w:r>
      <w:r w:rsidR="0052158A">
        <w:t xml:space="preserve">ower </w:t>
      </w:r>
      <w:r w:rsidR="00BE581F">
        <w:t>S</w:t>
      </w:r>
      <w:r w:rsidR="0052158A">
        <w:t>ystem</w:t>
      </w:r>
      <w:r w:rsidR="001C3543">
        <w:t>.</w:t>
      </w:r>
      <w:r>
        <w:t xml:space="preserve"> </w:t>
      </w:r>
      <w:r w:rsidR="00765468">
        <w:t xml:space="preserve">NPCC </w:t>
      </w:r>
      <w:r w:rsidR="00765468">
        <w:lastRenderedPageBreak/>
        <w:t>a</w:t>
      </w:r>
      <w:r>
        <w:t>djust</w:t>
      </w:r>
      <w:r w:rsidR="00765468">
        <w:t xml:space="preserve">s its </w:t>
      </w:r>
      <w:r w:rsidR="0052158A">
        <w:t xml:space="preserve">regional </w:t>
      </w:r>
      <w:r w:rsidR="00765468">
        <w:t>Criteria</w:t>
      </w:r>
      <w:r>
        <w:t xml:space="preserve"> to </w:t>
      </w:r>
      <w:r w:rsidR="002F03AC" w:rsidRPr="00427AE6">
        <w:rPr>
          <w:noProof/>
        </w:rPr>
        <w:t>retire</w:t>
      </w:r>
      <w:r w:rsidR="002F03AC">
        <w:t xml:space="preserve"> or </w:t>
      </w:r>
      <w:r>
        <w:t xml:space="preserve">adapt to </w:t>
      </w:r>
      <w:r w:rsidR="006E3736">
        <w:t>any new</w:t>
      </w:r>
      <w:r w:rsidR="0052158A">
        <w:t xml:space="preserve"> </w:t>
      </w:r>
      <w:r>
        <w:t xml:space="preserve">NERC requirements as they </w:t>
      </w:r>
      <w:r w:rsidR="006E3736">
        <w:t>come into effect</w:t>
      </w:r>
      <w:r w:rsidR="00B813A3">
        <w:t xml:space="preserve"> as </w:t>
      </w:r>
      <w:r w:rsidR="003F6793">
        <w:t>necessary</w:t>
      </w:r>
      <w:r w:rsidR="006E3736">
        <w:t>.</w:t>
      </w:r>
    </w:p>
    <w:p w14:paraId="5019AB14" w14:textId="77777777" w:rsidR="00F54D9D" w:rsidRDefault="003908E7" w:rsidP="00DE46F8">
      <w:pPr>
        <w:pStyle w:val="ListParagraph"/>
        <w:numPr>
          <w:ilvl w:val="0"/>
          <w:numId w:val="4"/>
        </w:numPr>
      </w:pPr>
      <w:r w:rsidRPr="005B1611">
        <w:rPr>
          <w:b/>
        </w:rPr>
        <w:t xml:space="preserve">Include design </w:t>
      </w:r>
      <w:r>
        <w:rPr>
          <w:b/>
        </w:rPr>
        <w:t>specifications</w:t>
      </w:r>
      <w:r w:rsidRPr="005B1611">
        <w:rPr>
          <w:b/>
        </w:rPr>
        <w:t xml:space="preserve"> where needed</w:t>
      </w:r>
      <w:r>
        <w:t xml:space="preserve">: </w:t>
      </w:r>
      <w:r w:rsidR="00F54D9D">
        <w:t xml:space="preserve">The NPCC </w:t>
      </w:r>
      <w:r w:rsidR="004420A3">
        <w:t xml:space="preserve">Criteria </w:t>
      </w:r>
      <w:r w:rsidR="004420A3" w:rsidRPr="00427AE6">
        <w:rPr>
          <w:noProof/>
        </w:rPr>
        <w:t>and</w:t>
      </w:r>
      <w:r w:rsidR="00B813A3">
        <w:t xml:space="preserve"> related guidelines and procedures </w:t>
      </w:r>
      <w:r w:rsidR="000F6C0E">
        <w:t xml:space="preserve">provide </w:t>
      </w:r>
      <w:r w:rsidR="00F54D9D">
        <w:t xml:space="preserve">design </w:t>
      </w:r>
      <w:r w:rsidR="000E51AB" w:rsidRPr="0036379F">
        <w:rPr>
          <w:noProof/>
        </w:rPr>
        <w:t>criteria</w:t>
      </w:r>
      <w:r w:rsidR="00B813A3">
        <w:t xml:space="preserve"> and practices to assure implementation</w:t>
      </w:r>
      <w:r w:rsidR="0075257F">
        <w:t>.</w:t>
      </w:r>
      <w:r w:rsidR="00C912C5">
        <w:t xml:space="preserve"> </w:t>
      </w:r>
      <w:r w:rsidR="004A3C84">
        <w:t xml:space="preserve"> </w:t>
      </w:r>
      <w:r w:rsidR="00C912C5">
        <w:t xml:space="preserve">NPCC Directories go </w:t>
      </w:r>
      <w:r w:rsidR="000E51AB">
        <w:t>into</w:t>
      </w:r>
      <w:r w:rsidR="00C912C5">
        <w:t xml:space="preserve"> greater detail regarding how to accomplish a given reliability result</w:t>
      </w:r>
      <w:r w:rsidR="004A3C84">
        <w:t>, where NERC standards may simply require a “reliability result.”</w:t>
      </w:r>
      <w:r w:rsidR="00C912C5">
        <w:t xml:space="preserve"> </w:t>
      </w:r>
    </w:p>
    <w:p w14:paraId="03C50838" w14:textId="77777777" w:rsidR="0032602B" w:rsidRDefault="00ED56AD" w:rsidP="00DE46F8">
      <w:pPr>
        <w:pStyle w:val="ListParagraph"/>
        <w:numPr>
          <w:ilvl w:val="0"/>
          <w:numId w:val="4"/>
        </w:numPr>
      </w:pPr>
      <w:r w:rsidRPr="005B1611">
        <w:rPr>
          <w:b/>
        </w:rPr>
        <w:t>Resilience has always been an element of NPCC Criteria:</w:t>
      </w:r>
      <w:r>
        <w:t xml:space="preserve"> Based on experience, resilience</w:t>
      </w:r>
      <w:r>
        <w:rPr>
          <w:rStyle w:val="FootnoteReference"/>
        </w:rPr>
        <w:footnoteReference w:id="7"/>
      </w:r>
      <w:r>
        <w:t xml:space="preserve"> </w:t>
      </w:r>
      <w:r>
        <w:rPr>
          <w:rStyle w:val="FootnoteReference"/>
        </w:rPr>
        <w:footnoteReference w:id="8"/>
      </w:r>
      <w:r>
        <w:t xml:space="preserve"> is a necessary constituent component of reliability and it is important both to electricity consumers and regulatory authorities in NPCC’s </w:t>
      </w:r>
      <w:r w:rsidR="004A3C84">
        <w:t>Region</w:t>
      </w:r>
      <w:r>
        <w:t xml:space="preserve">. </w:t>
      </w:r>
      <w:r w:rsidR="004A3C84">
        <w:t xml:space="preserve"> </w:t>
      </w:r>
      <w:r w:rsidR="0032602B">
        <w:t xml:space="preserve">NPCC Criteria </w:t>
      </w:r>
      <w:r w:rsidR="00E011EF">
        <w:t>provide</w:t>
      </w:r>
      <w:r w:rsidR="0032602B">
        <w:t xml:space="preserve"> </w:t>
      </w:r>
      <w:r w:rsidR="00E011EF">
        <w:t xml:space="preserve">substantial </w:t>
      </w:r>
      <w:r w:rsidR="008453BF">
        <w:t xml:space="preserve">resilience </w:t>
      </w:r>
      <w:r w:rsidR="007F7CCD">
        <w:t xml:space="preserve">benefits </w:t>
      </w:r>
      <w:r w:rsidR="008453BF">
        <w:t>to the NPCC bulk p</w:t>
      </w:r>
      <w:r w:rsidR="0032602B">
        <w:t>ower system by providing:</w:t>
      </w:r>
    </w:p>
    <w:p w14:paraId="38D8F9AD" w14:textId="77777777" w:rsidR="0032602B" w:rsidRDefault="00C35708" w:rsidP="0032602B">
      <w:pPr>
        <w:pStyle w:val="ListParagraph"/>
        <w:numPr>
          <w:ilvl w:val="1"/>
          <w:numId w:val="4"/>
        </w:numPr>
      </w:pPr>
      <w:r>
        <w:t>Robustness – T</w:t>
      </w:r>
      <w:r w:rsidR="0032602B">
        <w:t xml:space="preserve">he ability to </w:t>
      </w:r>
      <w:r w:rsidR="004B30FB">
        <w:t xml:space="preserve">withstand </w:t>
      </w:r>
      <w:r w:rsidR="000476A9">
        <w:t>disturbances by</w:t>
      </w:r>
      <w:r w:rsidR="004B30FB">
        <w:t xml:space="preserve"> supporting operations in a more secure state.</w:t>
      </w:r>
    </w:p>
    <w:p w14:paraId="76EF3790" w14:textId="77777777" w:rsidR="0032602B" w:rsidRDefault="00C35708" w:rsidP="0032602B">
      <w:pPr>
        <w:pStyle w:val="ListParagraph"/>
        <w:numPr>
          <w:ilvl w:val="1"/>
          <w:numId w:val="4"/>
        </w:numPr>
      </w:pPr>
      <w:r>
        <w:t>Resourcefulness – T</w:t>
      </w:r>
      <w:r w:rsidR="0032602B">
        <w:t>he ability to detect and manage a crisis as it unfolds.</w:t>
      </w:r>
    </w:p>
    <w:p w14:paraId="523387B9" w14:textId="77777777" w:rsidR="0032602B" w:rsidRDefault="00C35708" w:rsidP="005020E4">
      <w:pPr>
        <w:pStyle w:val="ListParagraph"/>
        <w:numPr>
          <w:ilvl w:val="1"/>
          <w:numId w:val="4"/>
        </w:numPr>
      </w:pPr>
      <w:r>
        <w:t>Rapid recovery – T</w:t>
      </w:r>
      <w:r w:rsidR="0032602B">
        <w:t>he ability to get services back as quickly as possible in a coordinated and controlled manner.</w:t>
      </w:r>
    </w:p>
    <w:p w14:paraId="1DEA9A27" w14:textId="77777777" w:rsidR="002B5C53" w:rsidRDefault="002B5C53" w:rsidP="005020E4">
      <w:pPr>
        <w:pStyle w:val="ListParagraph"/>
        <w:numPr>
          <w:ilvl w:val="1"/>
          <w:numId w:val="4"/>
        </w:numPr>
      </w:pPr>
      <w:r w:rsidRPr="005B1611">
        <w:rPr>
          <w:noProof/>
        </w:rPr>
        <w:t>Adaptability –</w:t>
      </w:r>
      <w:r w:rsidR="00C35708" w:rsidRPr="005B1611">
        <w:rPr>
          <w:noProof/>
        </w:rPr>
        <w:t xml:space="preserve"> </w:t>
      </w:r>
      <w:r w:rsidR="00C35708">
        <w:rPr>
          <w:noProof/>
        </w:rPr>
        <w:t>T</w:t>
      </w:r>
      <w:r w:rsidRPr="005B1611">
        <w:rPr>
          <w:noProof/>
        </w:rPr>
        <w:t>he</w:t>
      </w:r>
      <w:r>
        <w:t xml:space="preserve"> ability to </w:t>
      </w:r>
      <w:r w:rsidR="00A31EDF">
        <w:t>absorb new lessons from events</w:t>
      </w:r>
      <w:r w:rsidR="0052158A">
        <w:t>.</w:t>
      </w:r>
    </w:p>
    <w:p w14:paraId="4C288AC1" w14:textId="77777777" w:rsidR="0063712F" w:rsidRDefault="00DE3E87" w:rsidP="00C05F7B">
      <w:pPr>
        <w:jc w:val="center"/>
        <w:rPr>
          <w:b/>
        </w:rPr>
      </w:pPr>
      <w:r>
        <w:rPr>
          <w:b/>
          <w:noProof/>
        </w:rPr>
        <w:lastRenderedPageBreak/>
        <mc:AlternateContent>
          <mc:Choice Requires="wps">
            <w:drawing>
              <wp:anchor distT="0" distB="0" distL="114300" distR="114300" simplePos="0" relativeHeight="251665408" behindDoc="0" locked="0" layoutInCell="1" allowOverlap="1" wp14:anchorId="703BDB49" wp14:editId="435869EB">
                <wp:simplePos x="0" y="0"/>
                <wp:positionH relativeFrom="column">
                  <wp:posOffset>3362325</wp:posOffset>
                </wp:positionH>
                <wp:positionV relativeFrom="paragraph">
                  <wp:posOffset>1885950</wp:posOffset>
                </wp:positionV>
                <wp:extent cx="1723390" cy="838200"/>
                <wp:effectExtent l="38100" t="38100" r="29210" b="19050"/>
                <wp:wrapNone/>
                <wp:docPr id="12" name="Straight Arrow Connector 12"/>
                <wp:cNvGraphicFramePr/>
                <a:graphic xmlns:a="http://schemas.openxmlformats.org/drawingml/2006/main">
                  <a:graphicData uri="http://schemas.microsoft.com/office/word/2010/wordprocessingShape">
                    <wps:wsp>
                      <wps:cNvCnPr/>
                      <wps:spPr>
                        <a:xfrm flipH="1" flipV="1">
                          <a:off x="0" y="0"/>
                          <a:ext cx="1723390" cy="838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7F6081B5" id="_x0000_t32" coordsize="21600,21600" o:spt="32" o:oned="t" path="m,l21600,21600e" filled="f">
                <v:path arrowok="t" fillok="f" o:connecttype="none"/>
                <o:lock v:ext="edit" shapetype="t"/>
              </v:shapetype>
              <v:shape id="Straight Arrow Connector 12" o:spid="_x0000_s1026" type="#_x0000_t32" style="position:absolute;margin-left:264.75pt;margin-top:148.5pt;width:135.7pt;height:66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swb3wEAABgEAAAOAAAAZHJzL2Uyb0RvYy54bWysU9uO0zAQfUfiHyy/0/QiQamarlCXywOC&#10;apfl3evYjSXfNB6a5O8ZO2lAgIQW8WLZHp8zc86M9ze9s+yiIJnga75aLDlTXobG+HPNH768e7Hl&#10;LKHwjbDBq5oPKvGbw/Nn+y7u1Dq0wTYKGJH4tOtizVvEuKuqJFvlRFqEqDwFdQAnkI5wrhoQHbE7&#10;W62Xy5dVF6CJEKRKiW5vxyA/FH6tlcTPWieFzNacasOyQlkf81od9mJ3BhFbI6cyxD9U4YTxlHSm&#10;uhUo2Dcwv1E5IyGkoHEhg6uC1kaqooHUrJa/qLlvRVRFC5mT4mxT+n+08tPlBMw01Ls1Z1446tE9&#10;gjDnFtkbgNCxY/CefAzA6An51cW0I9jRn2A6pXiCLL7X4Ji2Jn4gOl52X/Mux0gq64vvw+y76pFJ&#10;uly9Wm82r6k9kmLbzZYamxNVI2NGR0j4XgXH8qbmaapwLm3MIS4fE47AKyCDrc8rCmPf+obhEEmj&#10;yNKmJDleZVWjjrLDwaoRe6c0+ZOrLDrKZKqjBXYRNFNCSuVxNTPR6wzTxtoZuPw7cHqfoapM7VPA&#10;M6JkDh5nsDM+wJ+yY38tWY/vrw6MurMFj6EZSoeLNTR+pSHTV8nz/fO5wH986MN3AAAA//8DAFBL&#10;AwQUAAYACAAAACEALp6c2OAAAAALAQAADwAAAGRycy9kb3ducmV2LnhtbEyPy07DMBBF90j8gzVI&#10;7KhNRGgS4lS0gIREN037AU48jSP8iGy3DX+PWZXlaI7uPbdezUaTM/owOsvhccGAoO2dHO3A4bD/&#10;eCiAhCisFNpZ5PCDAVbN7U0tKukudofnNg4khdhQCQ4qxqmiNPQKjQgLN6FNv6PzRsR0+oFKLy4p&#10;3GiaMfZMjRhtalBiwo3C/rs9GQ7b5c7ju962xXEtv2L++aa6w57z+7v59QVIxDleYfjTT+rQJKfO&#10;nawMRHPIszJPKIesXKZRiSgYK4F0HJ6ykgFtavp/Q/MLAAD//wMAUEsBAi0AFAAGAAgAAAAhALaD&#10;OJL+AAAA4QEAABMAAAAAAAAAAAAAAAAAAAAAAFtDb250ZW50X1R5cGVzXS54bWxQSwECLQAUAAYA&#10;CAAAACEAOP0h/9YAAACUAQAACwAAAAAAAAAAAAAAAAAvAQAAX3JlbHMvLnJlbHNQSwECLQAUAAYA&#10;CAAAACEAwIrMG98BAAAYBAAADgAAAAAAAAAAAAAAAAAuAgAAZHJzL2Uyb0RvYy54bWxQSwECLQAU&#10;AAYACAAAACEALp6c2OAAAAALAQAADwAAAAAAAAAAAAAAAAA5BAAAZHJzL2Rvd25yZXYueG1sUEsF&#10;BgAAAAAEAAQA8wAAAEYFAAAAAA==&#10;" strokecolor="#4579b8 [3044]">
                <v:stroke endarrow="open"/>
              </v:shape>
            </w:pict>
          </mc:Fallback>
        </mc:AlternateContent>
      </w:r>
      <w:r>
        <w:rPr>
          <w:b/>
          <w:noProof/>
        </w:rPr>
        <mc:AlternateContent>
          <mc:Choice Requires="wps">
            <w:drawing>
              <wp:anchor distT="0" distB="0" distL="114300" distR="114300" simplePos="0" relativeHeight="251666432" behindDoc="0" locked="0" layoutInCell="1" allowOverlap="1" wp14:anchorId="31E43384" wp14:editId="1A990BF3">
                <wp:simplePos x="0" y="0"/>
                <wp:positionH relativeFrom="column">
                  <wp:posOffset>3552825</wp:posOffset>
                </wp:positionH>
                <wp:positionV relativeFrom="paragraph">
                  <wp:posOffset>1752600</wp:posOffset>
                </wp:positionV>
                <wp:extent cx="1532890" cy="666115"/>
                <wp:effectExtent l="38100" t="38100" r="29210" b="19685"/>
                <wp:wrapNone/>
                <wp:docPr id="13" name="Straight Arrow Connector 13"/>
                <wp:cNvGraphicFramePr/>
                <a:graphic xmlns:a="http://schemas.openxmlformats.org/drawingml/2006/main">
                  <a:graphicData uri="http://schemas.microsoft.com/office/word/2010/wordprocessingShape">
                    <wps:wsp>
                      <wps:cNvCnPr/>
                      <wps:spPr>
                        <a:xfrm flipH="1" flipV="1">
                          <a:off x="0" y="0"/>
                          <a:ext cx="1532890" cy="6661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3DB43EA" id="Straight Arrow Connector 13" o:spid="_x0000_s1026" type="#_x0000_t32" style="position:absolute;margin-left:279.75pt;margin-top:138pt;width:120.7pt;height:52.45pt;flip:x 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T2f4AEAABgEAAAOAAAAZHJzL2Uyb0RvYy54bWysU02P0zAQvSPxHyzfaZqutlqqpivU5eOA&#10;oNpluXsdu7HkL42HJv33jJ00IEBCi7hYtsfvzbw34+3t4Cw7KUgm+IbXiyVnysvQGn9s+OOXd69u&#10;OEsofCts8KrhZ5X47e7li20fN2oVumBbBYxIfNr0seEdYtxUVZKdciItQlSegjqAE0hHOFYtiJ7Y&#10;na1Wy+W66gO0EYJUKdHt3Rjku8KvtZL4WeukkNmGU21YVijrU16r3VZsjiBiZ+RUhviHKpwwnpLO&#10;VHcCBfsG5jcqZySEFDQuZHBV0NpIVTSQmnr5i5qHTkRVtJA5Kc42pf9HKz+dDsBMS7274swLRz16&#10;QBDm2CF7AxB6tg/ek48BGD0hv/qYNgTb+wNMpxQPkMUPGhzT1sQPRMfL7mve5RhJZUPx/Tz7rgZk&#10;ki7r66vVzWtqj6TYer2u6+ucqBoZMzpCwvcqOJY3DU9ThXNpYw5x+phwBF4AGWx9XlEY+9a3DM+R&#10;NIosbUqS41VWNeooOzxbNWLvlSZ/cpVFR5lMtbfAToJmSkipPNYzE73OMG2snYHLvwOn9xmqytQ+&#10;BzwjSubgcQY74wP8KTsOl5L1+P7iwKg7W/AU2nPpcLGGxq80ZPoqeb5/Phf4jw+9+w4AAP//AwBQ&#10;SwMEFAAGAAgAAAAhAIbLjQLgAAAACwEAAA8AAABkcnMvZG93bnJldi54bWxMj8tuwjAQRfeV+g/W&#10;VOqu2FAFQhoH9SlVKhsCH+DEQxLhR2QbSP++01W7m9Ec3Tm33EzWsAuGOHgnYT4TwNC1Xg+uk3DY&#10;fzzkwGJSTivjHUr4xgib6vamVIX2V7fDS506RiEuFkpCn9JYcB7bHq2KMz+io9vRB6sSraHjOqgr&#10;hVvDF0IsuVWDow+9GvG1x/ZUn62E7WoX8N1s6/z4or9S9vnWN4e9lPd30/MTsIRT+oPhV5/UoSKn&#10;xp+djsxIyLJ1RqiExWpJpYjIhVgDayQ85jTwquT/O1Q/AAAA//8DAFBLAQItABQABgAIAAAAIQC2&#10;gziS/gAAAOEBAAATAAAAAAAAAAAAAAAAAAAAAABbQ29udGVudF9UeXBlc10ueG1sUEsBAi0AFAAG&#10;AAgAAAAhADj9If/WAAAAlAEAAAsAAAAAAAAAAAAAAAAALwEAAF9yZWxzLy5yZWxzUEsBAi0AFAAG&#10;AAgAAAAhAOk9PZ/gAQAAGAQAAA4AAAAAAAAAAAAAAAAALgIAAGRycy9lMm9Eb2MueG1sUEsBAi0A&#10;FAAGAAgAAAAhAIbLjQLgAAAACwEAAA8AAAAAAAAAAAAAAAAAOgQAAGRycy9kb3ducmV2LnhtbFBL&#10;BQYAAAAABAAEAPMAAABHBQAAAAA=&#10;" strokecolor="#4579b8 [3044]">
                <v:stroke endarrow="open"/>
              </v:shape>
            </w:pict>
          </mc:Fallback>
        </mc:AlternateContent>
      </w:r>
      <w:r>
        <w:rPr>
          <w:b/>
          <w:noProof/>
        </w:rPr>
        <mc:AlternateContent>
          <mc:Choice Requires="wps">
            <w:drawing>
              <wp:anchor distT="0" distB="0" distL="114300" distR="114300" simplePos="0" relativeHeight="251664384" behindDoc="0" locked="0" layoutInCell="1" allowOverlap="1" wp14:anchorId="7C6C1734" wp14:editId="59C3335B">
                <wp:simplePos x="0" y="0"/>
                <wp:positionH relativeFrom="column">
                  <wp:posOffset>1981200</wp:posOffset>
                </wp:positionH>
                <wp:positionV relativeFrom="paragraph">
                  <wp:posOffset>1152525</wp:posOffset>
                </wp:positionV>
                <wp:extent cx="3103880" cy="914400"/>
                <wp:effectExtent l="38100" t="57150" r="20320" b="19050"/>
                <wp:wrapNone/>
                <wp:docPr id="11" name="Straight Arrow Connector 11"/>
                <wp:cNvGraphicFramePr/>
                <a:graphic xmlns:a="http://schemas.openxmlformats.org/drawingml/2006/main">
                  <a:graphicData uri="http://schemas.microsoft.com/office/word/2010/wordprocessingShape">
                    <wps:wsp>
                      <wps:cNvCnPr/>
                      <wps:spPr>
                        <a:xfrm flipH="1" flipV="1">
                          <a:off x="0" y="0"/>
                          <a:ext cx="3103880" cy="914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8E0E470" id="Straight Arrow Connector 11" o:spid="_x0000_s1026" type="#_x0000_t32" style="position:absolute;margin-left:156pt;margin-top:90.75pt;width:244.4pt;height:1in;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XPW5QEAABgEAAAOAAAAZHJzL2Uyb0RvYy54bWysU02P0zAQvSPxHyzfadLdFSpV0xXq8nFA&#10;ULEsd68zbiz5S2PTJP+esZMGBCskEBfLzsx7M+/NZHc7WMPOgFF71/D1quYMnPStdqeGP3x5+2LD&#10;WUzCtcJ4Bw0fIfLb/fNnuz5s4cp33rSAjEhc3Pah4V1KYVtVUXZgRVz5AI6CyqMViZ54qloUPbFb&#10;U13V9cuq99gG9BJipK93U5DvC79SINMnpSIkZhpOvaVyYjkf81ntd2J7QhE6Lec2xD90YYV2VHSh&#10;uhNJsG+of6OyWqKPXqWV9LbySmkJRQOpWde/qLnvRICihcyJYbEp/j9a+fF8RKZbmt2aMycszeg+&#10;odCnLrHXiL5nB+8c+eiRUQr51Ye4JdjBHXF+xXDELH5QaJkyOrwnOl5uX/Mtx0gqG4rv4+I7DIlJ&#10;+ni9rq83GxqPpNir9c1NXQZTTYwZHTCmd+Aty5eGx7nDpbWphjh/iIl6IuAFkMHG5TMJbd64lqUx&#10;kEaRpWU1lJvjVVY16Si3NBqYsJ9BkT/U5VSjbCYcDLKzoJ0SUoJLxZfCRNkZprQxC7AuBvwROOdn&#10;KJSt/RvwgiiVvUsL2Grn8anqabi0rKb8iwOT7mzBo2/HMuFiDa1f8Wr+VfJ+//wu8B8/9P47AAAA&#10;//8DAFBLAwQUAAYACAAAACEAenXVjt4AAAALAQAADwAAAGRycy9kb3ducmV2LnhtbEyPy07DMBBF&#10;90j8gzVI7KidoEAU4lQ8JSS6adoPcOJpHBHbke224e8ZVnQ5uld3zqnXi53YCUMcvZOQrQQwdL3X&#10;oxsk7HcfdyWwmJTTavIOJfxghHVzfVWrSvuz2+KpTQOjERcrJcGkNFecx96gVXHlZ3SUHXywKtEZ&#10;Bq6DOtO4nXguxAO3anT0wagZXw323+3RStg8bgO+T5u2PLzor1R8vpluv5Py9mZ5fgKWcEn/ZfjD&#10;J3RoiKnzR6cjmyTcZzm5JArKrABGjVIIkukoyosCeFPzS4fmFwAA//8DAFBLAQItABQABgAIAAAA&#10;IQC2gziS/gAAAOEBAAATAAAAAAAAAAAAAAAAAAAAAABbQ29udGVudF9UeXBlc10ueG1sUEsBAi0A&#10;FAAGAAgAAAAhADj9If/WAAAAlAEAAAsAAAAAAAAAAAAAAAAALwEAAF9yZWxzLy5yZWxzUEsBAi0A&#10;FAAGAAgAAAAhAO9Jc9blAQAAGAQAAA4AAAAAAAAAAAAAAAAALgIAAGRycy9lMm9Eb2MueG1sUEsB&#10;Ai0AFAAGAAgAAAAhAHp11Y7eAAAACwEAAA8AAAAAAAAAAAAAAAAAPwQAAGRycy9kb3ducmV2Lnht&#10;bFBLBQYAAAAABAAEAPMAAABKBQAAAAA=&#10;" strokecolor="#4579b8 [3044]">
                <v:stroke endarrow="open"/>
              </v:shape>
            </w:pict>
          </mc:Fallback>
        </mc:AlternateContent>
      </w:r>
      <w:r w:rsidR="00D3119E">
        <w:rPr>
          <w:b/>
          <w:noProof/>
        </w:rPr>
        <mc:AlternateContent>
          <mc:Choice Requires="wps">
            <w:drawing>
              <wp:anchor distT="0" distB="0" distL="114300" distR="114300" simplePos="0" relativeHeight="251663360" behindDoc="0" locked="0" layoutInCell="1" allowOverlap="1" wp14:anchorId="30960180" wp14:editId="05C4645E">
                <wp:simplePos x="0" y="0"/>
                <wp:positionH relativeFrom="column">
                  <wp:posOffset>5086350</wp:posOffset>
                </wp:positionH>
                <wp:positionV relativeFrom="paragraph">
                  <wp:posOffset>1990725</wp:posOffset>
                </wp:positionV>
                <wp:extent cx="1666875" cy="1485900"/>
                <wp:effectExtent l="0" t="0" r="28575" b="19050"/>
                <wp:wrapNone/>
                <wp:docPr id="10" name="Text Box 10"/>
                <wp:cNvGraphicFramePr/>
                <a:graphic xmlns:a="http://schemas.openxmlformats.org/drawingml/2006/main">
                  <a:graphicData uri="http://schemas.microsoft.com/office/word/2010/wordprocessingShape">
                    <wps:wsp>
                      <wps:cNvSpPr txBox="1"/>
                      <wps:spPr>
                        <a:xfrm>
                          <a:off x="0" y="0"/>
                          <a:ext cx="1666875" cy="1485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07F5B14" w14:textId="77777777" w:rsidR="00F24DDC" w:rsidRDefault="00F24DDC" w:rsidP="00C05F7B">
                            <w:pPr>
                              <w:spacing w:after="0"/>
                            </w:pPr>
                            <w:r>
                              <w:t>NPCC Criteria serve to establish a superior pre-event starting point, make the trough less severe and the recovery faster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960180" id="_x0000_t202" coordsize="21600,21600" o:spt="202" path="m,l,21600r21600,l21600,xe">
                <v:stroke joinstyle="miter"/>
                <v:path gradientshapeok="t" o:connecttype="rect"/>
              </v:shapetype>
              <v:shape id="Text Box 10" o:spid="_x0000_s1026" type="#_x0000_t202" style="position:absolute;left:0;text-align:left;margin-left:400.5pt;margin-top:156.75pt;width:131.25pt;height:11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VetlQIAALUFAAAOAAAAZHJzL2Uyb0RvYy54bWysVE1PGzEQvVfqf7B8L5vQJIWIDUpBVJUQ&#10;oELF2fHaZIW/ajvZTX99n72bkFAuVL3sznjejGeeZ+bsvNWKrIUPtTUlHR4NKBGG26o2TyX9+XD1&#10;6YSSEJmpmLJGlHQjAj2fffxw1ripOLZLqyrhCYKYMG1cSZcxumlRBL4UmoUj64SBUVqvWYTqn4rK&#10;swbRtSqOB4NJ0VhfOW+5CAGnl52RznJ8KQWPt1IGEYkqKXKL+evzd5G+xeyMTZ88c8ua92mwf8hC&#10;s9rg0l2oSxYZWfn6r1C65t4GK+MRt7qwUtZc5BpQzXDwqpr7JXMi1wJygtvRFP5fWH6zvvOkrvB2&#10;oMcwjTd6EG0kX21LcAR+GhemgN07AGOLc2C35wGHqexWep3+KIjAjlCbHbspGk9Ok8nk5MuYEg7b&#10;cHQyPh3k+MWLu/MhfhNWkySU1OP5MqtsfR0iUgF0C0m3Bavq6qpWKiupZcSF8mTN8Ngq5iThcYBS&#10;hjQlnXweD3LgA1sKvfNfKMafU5mHEaApk64Tubn6tBJFHRVZihslEkaZH0KC3MzIGzkyzoXZ5ZnR&#10;CSVR0Xsce/xLVu9x7uqAR77Zmrhz1rWxvmPpkNrqeUut7PAgaa/uJMZ20fats7DVBp3jbTd7wfGr&#10;GkRfsxDvmMewoVmwQOItPlJZvI7tJUqW1v9+6zzhMQOwUtJgeEsafq2YF5So7wbTcTocjdK0Z2U0&#10;/nIMxe9bFvsWs9IXFi0zxKpyPIsJH9VWlN7qR+yZeboVJmY47i5p3IoXsVsp2FNczOcZhPl2LF6b&#10;e8dT6ERvarCH9pF51zd4xGzc2O2Ys+mrPu+wydPY+SpaWechSAR3rPbEYzfkPu33WFo++3pGvWzb&#10;2R8AAAD//wMAUEsDBBQABgAIAAAAIQCLl3cu3wAAAAwBAAAPAAAAZHJzL2Rvd25yZXYueG1sTI/B&#10;TsMwEETvSPyDtUjcqB1KShriVIAKl54oqGc33toWsR3Zbhr+HucEt1nNaPZNs5lsT0YM0XjHoVgw&#10;IOg6L41THL4+3+4qIDEJJ0XvHXL4wQib9vqqEbX0F/eB4z4pkktcrAUHndJQUxo7jVbEhR/QZe/k&#10;gxUpn0FRGcQll9ue3jO2olYYlz9oMeCrxu57f7Ycti9qrbpKBL2tpDHjdDjt1DvntzfT8xOQhFP6&#10;C8OMn9GhzUxHf3Yykp5DxYq8JXFYFssSyJxgq1kdOZQPjyXQtqH/R7S/AAAA//8DAFBLAQItABQA&#10;BgAIAAAAIQC2gziS/gAAAOEBAAATAAAAAAAAAAAAAAAAAAAAAABbQ29udGVudF9UeXBlc10ueG1s&#10;UEsBAi0AFAAGAAgAAAAhADj9If/WAAAAlAEAAAsAAAAAAAAAAAAAAAAALwEAAF9yZWxzLy5yZWxz&#10;UEsBAi0AFAAGAAgAAAAhAEfxV62VAgAAtQUAAA4AAAAAAAAAAAAAAAAALgIAAGRycy9lMm9Eb2Mu&#10;eG1sUEsBAi0AFAAGAAgAAAAhAIuXdy7fAAAADAEAAA8AAAAAAAAAAAAAAAAA7wQAAGRycy9kb3du&#10;cmV2LnhtbFBLBQYAAAAABAAEAPMAAAD7BQAAAAA=&#10;" fillcolor="white [3201]" strokeweight=".5pt">
                <v:textbox>
                  <w:txbxContent>
                    <w:p w14:paraId="407F5B14" w14:textId="77777777" w:rsidR="00F24DDC" w:rsidRDefault="00F24DDC" w:rsidP="00C05F7B">
                      <w:pPr>
                        <w:spacing w:after="0"/>
                      </w:pPr>
                      <w:r>
                        <w:t>NPCC Criteria serve to establish a superior pre-event starting point, make the trough less severe and the recovery faster</w:t>
                      </w:r>
                    </w:p>
                  </w:txbxContent>
                </v:textbox>
              </v:shape>
            </w:pict>
          </mc:Fallback>
        </mc:AlternateContent>
      </w:r>
      <w:r w:rsidR="005D38A3" w:rsidRPr="00C05F7B">
        <w:rPr>
          <w:b/>
        </w:rPr>
        <w:t xml:space="preserve">NERC RISC Proposed Model of </w:t>
      </w:r>
      <w:r w:rsidR="005D38A3" w:rsidRPr="005D38A3">
        <w:rPr>
          <w:b/>
        </w:rPr>
        <w:t>Resilience</w:t>
      </w:r>
      <w:r w:rsidR="0063712F">
        <w:rPr>
          <w:noProof/>
        </w:rPr>
        <w:drawing>
          <wp:inline distT="0" distB="0" distL="0" distR="0" wp14:anchorId="5A4B2DF5" wp14:editId="112EF89B">
            <wp:extent cx="5210175" cy="4377437"/>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212827" cy="4379665"/>
                    </a:xfrm>
                    <a:prstGeom prst="rect">
                      <a:avLst/>
                    </a:prstGeom>
                  </pic:spPr>
                </pic:pic>
              </a:graphicData>
            </a:graphic>
          </wp:inline>
        </w:drawing>
      </w:r>
    </w:p>
    <w:p w14:paraId="4A5FFDFB" w14:textId="77777777" w:rsidR="00157268" w:rsidRDefault="00157268" w:rsidP="00157268">
      <w:pPr>
        <w:pStyle w:val="Heading1"/>
        <w:spacing w:line="480" w:lineRule="auto"/>
      </w:pPr>
      <w:bookmarkStart w:id="8" w:name="_Toc10106973"/>
      <w:bookmarkStart w:id="9" w:name="_Toc516650265"/>
      <w:r>
        <w:t>NPCC DER Impact Reporting</w:t>
      </w:r>
      <w:bookmarkEnd w:id="8"/>
    </w:p>
    <w:p w14:paraId="5F9F674A" w14:textId="77777777" w:rsidR="00157268" w:rsidRDefault="005E60D6" w:rsidP="00157268">
      <w:r>
        <w:t xml:space="preserve">In order to ensure the reliability of the </w:t>
      </w:r>
      <w:r w:rsidR="00A56B29">
        <w:t>interconnected bulk power system in Northeastern North America</w:t>
      </w:r>
      <w:r>
        <w:t xml:space="preserve"> as DER continues to proliferate throughout the distribution systems within</w:t>
      </w:r>
      <w:r w:rsidR="004A3C84">
        <w:t xml:space="preserve"> the</w:t>
      </w:r>
      <w:r>
        <w:t xml:space="preserve"> NPCC</w:t>
      </w:r>
      <w:r w:rsidR="004A3C84">
        <w:t xml:space="preserve"> Region</w:t>
      </w:r>
      <w:r w:rsidR="00B84935">
        <w:t>,</w:t>
      </w:r>
      <w:r>
        <w:t xml:space="preserve"> it is important to have a </w:t>
      </w:r>
      <w:r w:rsidR="00AE06C9">
        <w:t xml:space="preserve">centralized </w:t>
      </w:r>
      <w:r>
        <w:t xml:space="preserve">DER impact reporting mechanism. </w:t>
      </w:r>
      <w:r w:rsidR="004A3C84">
        <w:t xml:space="preserve"> </w:t>
      </w:r>
      <w:r w:rsidR="009B3C7C">
        <w:t>The NPCC Regional Standard Committee</w:t>
      </w:r>
      <w:r w:rsidR="004A3C84">
        <w:t xml:space="preserve"> (RSC)</w:t>
      </w:r>
      <w:r w:rsidR="009B3C7C">
        <w:t xml:space="preserve"> created a</w:t>
      </w:r>
      <w:r>
        <w:t>n impact reporting</w:t>
      </w:r>
      <w:r w:rsidR="009B3C7C">
        <w:t xml:space="preserve"> form and process </w:t>
      </w:r>
      <w:r w:rsidR="00A56B29">
        <w:t xml:space="preserve">that </w:t>
      </w:r>
      <w:r w:rsidR="009B3C7C">
        <w:t>allow</w:t>
      </w:r>
      <w:r w:rsidR="00A56B29">
        <w:t>s</w:t>
      </w:r>
      <w:r w:rsidR="009B3C7C">
        <w:t xml:space="preserve"> entities to report DER impacts </w:t>
      </w:r>
      <w:r w:rsidR="00AE06C9">
        <w:t xml:space="preserve">and to seek guidance regarding emerging issues and reliability risks </w:t>
      </w:r>
      <w:r w:rsidR="009B3C7C">
        <w:t xml:space="preserve">that affect or could affect the </w:t>
      </w:r>
      <w:r w:rsidR="00AE06C9">
        <w:t xml:space="preserve">reliable </w:t>
      </w:r>
      <w:r w:rsidR="009B3C7C">
        <w:t>performance of the Bulk Electric System (BES) see Appendix A.  The Word version of the below form resides on the NPCC website at:</w:t>
      </w:r>
    </w:p>
    <w:p w14:paraId="014A6B50" w14:textId="77777777" w:rsidR="009B3C7C" w:rsidRDefault="007A1CF1" w:rsidP="00157268">
      <w:hyperlink r:id="rId14" w:history="1">
        <w:r w:rsidR="009B3C7C">
          <w:rPr>
            <w:rStyle w:val="Hyperlink"/>
          </w:rPr>
          <w:t>BES Impact Reporting Form</w:t>
        </w:r>
      </w:hyperlink>
    </w:p>
    <w:p w14:paraId="1F037EFB" w14:textId="4A4754E2" w:rsidR="009B3C7C" w:rsidRDefault="00F24DDC" w:rsidP="00157268">
      <w:r>
        <w:t xml:space="preserve">Impact reporting and associated </w:t>
      </w:r>
      <w:r w:rsidR="005E60D6">
        <w:t xml:space="preserve">process </w:t>
      </w:r>
      <w:r w:rsidR="00AE06C9">
        <w:t>provide an orderly mechanism to</w:t>
      </w:r>
      <w:r w:rsidR="005E60D6">
        <w:t xml:space="preserve"> review </w:t>
      </w:r>
      <w:r w:rsidR="00AE06C9">
        <w:t>reliability</w:t>
      </w:r>
      <w:r w:rsidR="005E60D6">
        <w:t xml:space="preserve"> impacts submitted to NPCC which is a collaborative review by the Reliability Coordinating Committee and Regional Standards Committee.  The process is shown below.</w:t>
      </w:r>
    </w:p>
    <w:p w14:paraId="642B2F63" w14:textId="77777777" w:rsidR="005E60D6" w:rsidRPr="00157268" w:rsidRDefault="00BA58E5" w:rsidP="00157268">
      <w:r>
        <w:rPr>
          <w:noProof/>
        </w:rPr>
        <w:lastRenderedPageBreak/>
        <w:drawing>
          <wp:inline distT="0" distB="0" distL="0" distR="0" wp14:anchorId="52041BAA" wp14:editId="02A61BEF">
            <wp:extent cx="6794991" cy="5250873"/>
            <wp:effectExtent l="0" t="0" r="6350" b="698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NPCC DER Process.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797831" cy="5253068"/>
                    </a:xfrm>
                    <a:prstGeom prst="rect">
                      <a:avLst/>
                    </a:prstGeom>
                    <a:effectLst>
                      <a:softEdge rad="63500"/>
                    </a:effectLst>
                  </pic:spPr>
                </pic:pic>
              </a:graphicData>
            </a:graphic>
          </wp:inline>
        </w:drawing>
      </w:r>
    </w:p>
    <w:p w14:paraId="67C5C3E3" w14:textId="77777777" w:rsidR="00D55D34" w:rsidRDefault="00D55D34" w:rsidP="007E766B">
      <w:pPr>
        <w:pStyle w:val="Heading1"/>
        <w:spacing w:line="480" w:lineRule="auto"/>
      </w:pPr>
      <w:bookmarkStart w:id="10" w:name="_Toc10106974"/>
      <w:r>
        <w:t xml:space="preserve">DER BES Impact </w:t>
      </w:r>
      <w:r w:rsidR="009324AE">
        <w:t>Considerations</w:t>
      </w:r>
      <w:bookmarkEnd w:id="10"/>
    </w:p>
    <w:p w14:paraId="28F8D899" w14:textId="77777777" w:rsidR="00D55D34" w:rsidRDefault="00D55D34" w:rsidP="00D55D34">
      <w:r>
        <w:t>NPCC’s</w:t>
      </w:r>
      <w:r w:rsidR="00B84935">
        <w:t xml:space="preserve"> Regional Standards Committee and Task Force</w:t>
      </w:r>
      <w:r>
        <w:t xml:space="preserve"> review of DER as it pertains to the </w:t>
      </w:r>
      <w:r w:rsidR="004A3C84">
        <w:t>NPCC R</w:t>
      </w:r>
      <w:r>
        <w:t>egion’s BES performance has identified a number of areas which, going forward, may warrant further and continual monitoring and analysis.  NPCC has identified the following items that should be carefully tracked</w:t>
      </w:r>
      <w:r w:rsidR="00A73ED7">
        <w:t xml:space="preserve"> as DER levels</w:t>
      </w:r>
      <w:r w:rsidR="00070F94">
        <w:t xml:space="preserve"> (total MWs)</w:t>
      </w:r>
      <w:r w:rsidR="00A73ED7">
        <w:t xml:space="preserve"> increase</w:t>
      </w:r>
      <w:r>
        <w:t>.</w:t>
      </w:r>
    </w:p>
    <w:p w14:paraId="6D9A2618" w14:textId="77777777" w:rsidR="00D55D34" w:rsidRDefault="00D55D34" w:rsidP="00D55D34">
      <w:pPr>
        <w:pStyle w:val="ListParagraph"/>
        <w:numPr>
          <w:ilvl w:val="0"/>
          <w:numId w:val="21"/>
        </w:numPr>
      </w:pPr>
      <w:r>
        <w:t>DER performance with respect to voltage and frequency ride through as well as the ability to provide regulation and reserves need to be consistent with the specifications of resources on the BES.</w:t>
      </w:r>
    </w:p>
    <w:p w14:paraId="4DB44F9E" w14:textId="5F51FAD7" w:rsidR="00D55D34" w:rsidRDefault="00AC73B0" w:rsidP="00D55D34">
      <w:pPr>
        <w:pStyle w:val="ListParagraph"/>
        <w:numPr>
          <w:ilvl w:val="0"/>
          <w:numId w:val="21"/>
        </w:numPr>
      </w:pPr>
      <w:r>
        <w:t>DER availability and quality of forecasting to determine interoperability and day</w:t>
      </w:r>
      <w:r>
        <w:t>-</w:t>
      </w:r>
      <w:r>
        <w:t>ahead commitment.</w:t>
      </w:r>
    </w:p>
    <w:p w14:paraId="195F45A1" w14:textId="77777777" w:rsidR="00D55D34" w:rsidRDefault="00D55D34" w:rsidP="00D55D34">
      <w:pPr>
        <w:pStyle w:val="ListParagraph"/>
        <w:numPr>
          <w:ilvl w:val="0"/>
          <w:numId w:val="21"/>
        </w:numPr>
      </w:pPr>
      <w:r>
        <w:t>Observability</w:t>
      </w:r>
      <w:r w:rsidR="004A3C84">
        <w:t>:  System</w:t>
      </w:r>
      <w:r>
        <w:t xml:space="preserve"> </w:t>
      </w:r>
      <w:r w:rsidR="004A3C84">
        <w:t>o</w:t>
      </w:r>
      <w:r>
        <w:t xml:space="preserve">perators </w:t>
      </w:r>
      <w:r w:rsidR="004A3C84">
        <w:t>must have</w:t>
      </w:r>
      <w:r>
        <w:t xml:space="preserve"> sufficient situational awareness of DER to reliably operate the BES</w:t>
      </w:r>
      <w:r w:rsidR="004A3C84">
        <w:t>.</w:t>
      </w:r>
    </w:p>
    <w:p w14:paraId="76FEF42C" w14:textId="77777777" w:rsidR="00D55D34" w:rsidRDefault="00D55D34" w:rsidP="00D55D34">
      <w:pPr>
        <w:pStyle w:val="ListParagraph"/>
        <w:numPr>
          <w:ilvl w:val="0"/>
          <w:numId w:val="21"/>
        </w:numPr>
      </w:pPr>
      <w:r>
        <w:lastRenderedPageBreak/>
        <w:t xml:space="preserve">Increasing penetration of DER will eventually affect </w:t>
      </w:r>
      <w:r w:rsidR="004A3C84">
        <w:t>Underfrequency Load Shed programs.</w:t>
      </w:r>
    </w:p>
    <w:p w14:paraId="2DEA2F27" w14:textId="77777777" w:rsidR="003125B4" w:rsidRDefault="00070F94" w:rsidP="00D55D34">
      <w:pPr>
        <w:pStyle w:val="ListParagraph"/>
        <w:numPr>
          <w:ilvl w:val="0"/>
          <w:numId w:val="21"/>
        </w:numPr>
      </w:pPr>
      <w:r>
        <w:t xml:space="preserve">Effect of </w:t>
      </w:r>
      <w:r w:rsidR="003125B4">
        <w:t>Non-linear devices such as inverters produc</w:t>
      </w:r>
      <w:r>
        <w:t>ing</w:t>
      </w:r>
      <w:r w:rsidR="003125B4">
        <w:t xml:space="preserve"> harmonics on the power system.</w:t>
      </w:r>
    </w:p>
    <w:p w14:paraId="0C1FA5B1" w14:textId="77777777" w:rsidR="00A73ED7" w:rsidRDefault="00A73ED7" w:rsidP="00D55D34">
      <w:pPr>
        <w:pStyle w:val="ListParagraph"/>
        <w:numPr>
          <w:ilvl w:val="0"/>
          <w:numId w:val="21"/>
        </w:numPr>
      </w:pPr>
      <w:r>
        <w:t>Impact of increasing DER on System Restoration and Black Start Plans</w:t>
      </w:r>
      <w:r w:rsidR="004A3C84">
        <w:t>.</w:t>
      </w:r>
    </w:p>
    <w:p w14:paraId="35242575" w14:textId="77777777" w:rsidR="00714830" w:rsidRPr="00D55D34" w:rsidRDefault="00714830" w:rsidP="00D55D34">
      <w:pPr>
        <w:pStyle w:val="ListParagraph"/>
        <w:numPr>
          <w:ilvl w:val="0"/>
          <w:numId w:val="21"/>
        </w:numPr>
      </w:pPr>
      <w:r>
        <w:t xml:space="preserve">DER </w:t>
      </w:r>
      <w:r w:rsidR="004A3C84">
        <w:t>Ma</w:t>
      </w:r>
      <w:r>
        <w:t>rkets</w:t>
      </w:r>
      <w:r w:rsidR="004A3C84">
        <w:t>:</w:t>
      </w:r>
      <w:r>
        <w:t xml:space="preserve"> </w:t>
      </w:r>
      <w:r w:rsidR="004A3C84">
        <w:t>E</w:t>
      </w:r>
      <w:r>
        <w:t>ncouraging Points of Common Coupling and injection to where it is best utilized</w:t>
      </w:r>
      <w:r w:rsidR="009324AE">
        <w:t xml:space="preserve"> and at </w:t>
      </w:r>
      <w:r w:rsidR="00E45BB9">
        <w:t>appropriate</w:t>
      </w:r>
      <w:r w:rsidR="009324AE">
        <w:t xml:space="preserve"> levels</w:t>
      </w:r>
      <w:r w:rsidR="004A3C84">
        <w:t>.</w:t>
      </w:r>
    </w:p>
    <w:p w14:paraId="46BDCF26" w14:textId="77777777" w:rsidR="005020E4" w:rsidRPr="000275F9" w:rsidRDefault="00714830" w:rsidP="007E766B">
      <w:pPr>
        <w:pStyle w:val="Heading1"/>
        <w:spacing w:line="480" w:lineRule="auto"/>
      </w:pPr>
      <w:bookmarkStart w:id="11" w:name="_Toc10106975"/>
      <w:r>
        <w:t xml:space="preserve">NPCC </w:t>
      </w:r>
      <w:r w:rsidR="008C3AE0">
        <w:t xml:space="preserve">Interconnection </w:t>
      </w:r>
      <w:bookmarkEnd w:id="9"/>
      <w:r w:rsidR="00EF4B3F">
        <w:t>Guidance</w:t>
      </w:r>
      <w:bookmarkEnd w:id="11"/>
    </w:p>
    <w:p w14:paraId="7AC0AFE1" w14:textId="2BCACAB7" w:rsidR="008C3AE0" w:rsidRDefault="008C3AE0" w:rsidP="008C3AE0">
      <w:r>
        <w:t xml:space="preserve">The </w:t>
      </w:r>
      <w:r w:rsidR="00070F94">
        <w:t xml:space="preserve">DER </w:t>
      </w:r>
      <w:r>
        <w:t xml:space="preserve">owner </w:t>
      </w:r>
      <w:r w:rsidR="00D523CC">
        <w:t>must</w:t>
      </w:r>
      <w:r>
        <w:t xml:space="preserve"> </w:t>
      </w:r>
      <w:r w:rsidR="00EB2C7E">
        <w:t xml:space="preserve">be prepared to </w:t>
      </w:r>
      <w:r>
        <w:t>provide appropriate protection and control equipment, including a protective device</w:t>
      </w:r>
      <w:r w:rsidR="00AE06C9">
        <w:t xml:space="preserve"> and communications system</w:t>
      </w:r>
      <w:r>
        <w:t xml:space="preserve"> that utilizes an automatic disconnect</w:t>
      </w:r>
      <w:r w:rsidR="009F74D1">
        <w:t>ing</w:t>
      </w:r>
      <w:r>
        <w:t xml:space="preserve"> device </w:t>
      </w:r>
      <w:r w:rsidR="00AE06C9">
        <w:t>which</w:t>
      </w:r>
      <w:r>
        <w:t xml:space="preserve"> will disconnect the generation</w:t>
      </w:r>
      <w:r w:rsidR="00AE06C9">
        <w:t xml:space="preserve"> under various conditions. For example</w:t>
      </w:r>
      <w:r>
        <w:t xml:space="preserve"> in the event that the portion of the utility system that serves the generator is de-energized for any reason or for a fault in the generator-owner’s system. </w:t>
      </w:r>
      <w:r w:rsidR="00AE06C9">
        <w:t xml:space="preserve"> Ther</w:t>
      </w:r>
      <w:r w:rsidR="005C2734">
        <w:t xml:space="preserve">e </w:t>
      </w:r>
      <w:r w:rsidR="00AE06C9">
        <w:t xml:space="preserve">is </w:t>
      </w:r>
      <w:r w:rsidR="005C2734">
        <w:t>also</w:t>
      </w:r>
      <w:r w:rsidR="00AE06C9">
        <w:t xml:space="preserve"> the possibility of over generation as has been demonstrated in CA</w:t>
      </w:r>
      <w:r w:rsidR="009F74D1">
        <w:t>,</w:t>
      </w:r>
      <w:r w:rsidR="00AE06C9">
        <w:t xml:space="preserve"> </w:t>
      </w:r>
      <w:r w:rsidR="009F74D1">
        <w:t xml:space="preserve">when </w:t>
      </w:r>
      <w:r w:rsidR="00AE06C9">
        <w:t>the system operator runs out of</w:t>
      </w:r>
      <w:r w:rsidR="005C2734">
        <w:t xml:space="preserve"> load to absorb the available generation</w:t>
      </w:r>
      <w:r w:rsidR="009F74D1">
        <w:t>.  Operating procedures</w:t>
      </w:r>
      <w:r w:rsidR="005C2734">
        <w:t xml:space="preserve"> for selecting which generation to curtail need to be in place. Some areas of the country are planning to use market mechanisms to address </w:t>
      </w:r>
      <w:r w:rsidR="00AC73B0">
        <w:t>this</w:t>
      </w:r>
      <w:r w:rsidR="005C2734">
        <w:t xml:space="preserve"> issue. </w:t>
      </w:r>
      <w:r>
        <w:t xml:space="preserve">The </w:t>
      </w:r>
      <w:r w:rsidR="00070F94">
        <w:t xml:space="preserve">DER </w:t>
      </w:r>
      <w:r>
        <w:t xml:space="preserve">owner’s protection and control equipment </w:t>
      </w:r>
      <w:r w:rsidR="009F74D1">
        <w:t xml:space="preserve">also </w:t>
      </w:r>
      <w:r>
        <w:t xml:space="preserve">shall be capable of automatically disconnecting the generation </w:t>
      </w:r>
      <w:r w:rsidR="005C2734">
        <w:t xml:space="preserve">from the system to which it is connected </w:t>
      </w:r>
      <w:r>
        <w:t>upon detection of a utility system fault.</w:t>
      </w:r>
    </w:p>
    <w:p w14:paraId="4D284B17" w14:textId="77777777" w:rsidR="008C3AE0" w:rsidRDefault="008C3AE0" w:rsidP="008C3AE0">
      <w:r>
        <w:t>The type and size of the generation facility or energy storage system is based on electrical generator or inverter AC nameplate rating.</w:t>
      </w:r>
    </w:p>
    <w:p w14:paraId="1DD5910B" w14:textId="77777777" w:rsidR="008C3AE0" w:rsidRDefault="008C3AE0" w:rsidP="008C3AE0">
      <w:r>
        <w:t xml:space="preserve">The </w:t>
      </w:r>
      <w:r w:rsidR="00070F94">
        <w:t xml:space="preserve">DER </w:t>
      </w:r>
      <w:r>
        <w:t xml:space="preserve">owner’s protection and control scheme </w:t>
      </w:r>
      <w:r w:rsidR="00D523CC">
        <w:t>must</w:t>
      </w:r>
      <w:r>
        <w:t xml:space="preserve"> be designed to ensure that the generation remains in operation when the frequency and voltage of the utility system is within the limits specified by the required operating ranges. Upon request from the utility, the </w:t>
      </w:r>
      <w:r w:rsidR="00070F94">
        <w:t xml:space="preserve">DER </w:t>
      </w:r>
      <w:r>
        <w:t>owner shall provide documentation detailing compliance with the requirements set forth in this document.</w:t>
      </w:r>
    </w:p>
    <w:p w14:paraId="252A04C0" w14:textId="77777777" w:rsidR="008C3AE0" w:rsidRDefault="008C3AE0" w:rsidP="008C3AE0">
      <w:r>
        <w:t xml:space="preserve">The specific design of the protection, control, and grounding schemes will depend on the size and characteristics of the </w:t>
      </w:r>
      <w:r w:rsidR="00070F94">
        <w:t xml:space="preserve">DER </w:t>
      </w:r>
      <w:r>
        <w:t xml:space="preserve">owner’s generation, as well the </w:t>
      </w:r>
      <w:r w:rsidR="00070F94">
        <w:t xml:space="preserve">DER owner’s </w:t>
      </w:r>
      <w:r>
        <w:t xml:space="preserve">load level, in addition to the characteristics of the particular portion of the utility’s system where the </w:t>
      </w:r>
      <w:r w:rsidR="00070F94">
        <w:t xml:space="preserve">DER </w:t>
      </w:r>
      <w:r>
        <w:t>owner is interconnecting.</w:t>
      </w:r>
    </w:p>
    <w:p w14:paraId="5805049A" w14:textId="77777777" w:rsidR="008C3AE0" w:rsidRDefault="008C3AE0" w:rsidP="008C3AE0">
      <w:r>
        <w:t xml:space="preserve">The </w:t>
      </w:r>
      <w:r w:rsidR="00070F94">
        <w:t xml:space="preserve">DER </w:t>
      </w:r>
      <w:r>
        <w:t xml:space="preserve">owner </w:t>
      </w:r>
      <w:r w:rsidR="004D7AB7">
        <w:t>should</w:t>
      </w:r>
      <w:r>
        <w:t xml:space="preserve"> have, as a minimum, an automatic disconnect device(s) sized to meet all applicable local, state, and federal codes and operated by over and under voltage and over and under frequency protection. For three-phase installations, the over and under voltage function should be included for each phase and the over and under frequency protection on at least one phase. All phases of a generator or inverter interface shall disconnect for voltage or frequency trip conditions sensed by the protective devices. Voltage protection shall be wired phase to ground for single phase installations and for applications using wye grounded-wye grounded service transformers.</w:t>
      </w:r>
    </w:p>
    <w:p w14:paraId="538E7364" w14:textId="77777777" w:rsidR="008C3AE0" w:rsidRDefault="008C3AE0" w:rsidP="008C3AE0">
      <w:r>
        <w:t>The settings below are listed for single-phase and three-phase applications using wye grounded- wye grounded service transformers or wye grounded-wye grounded isolation transformers. For applications using other transformer connections, a site-specific review will be performed by the utility and the revised settings identified in Step 6 of the Application Process.</w:t>
      </w:r>
    </w:p>
    <w:p w14:paraId="1AEDAF4D" w14:textId="77777777" w:rsidR="008C3AE0" w:rsidRDefault="008C3AE0" w:rsidP="008C3AE0">
      <w:r>
        <w:lastRenderedPageBreak/>
        <w:t>The requirements set forth in this document are intended to be consistent with those contained in the most current version of IEEE Standard 1547, Standard for Interconnecting Distributed Resources with Electric Power Systems. The requirements in IEEE 1547 above and beyond those contained in this document shall be followed and any other Standards included in or referenced to in IEEE Std</w:t>
      </w:r>
      <w:r w:rsidR="003A351B">
        <w:t>.</w:t>
      </w:r>
      <w:r>
        <w:t xml:space="preserve"> 1547 shall be adhered to.</w:t>
      </w:r>
    </w:p>
    <w:p w14:paraId="2B6AECFF" w14:textId="77777777" w:rsidR="008C3AE0" w:rsidRPr="00EF4B3F" w:rsidRDefault="008C3AE0" w:rsidP="00714830">
      <w:pPr>
        <w:pStyle w:val="Heading2"/>
      </w:pPr>
      <w:bookmarkStart w:id="12" w:name="_Toc10106976"/>
      <w:r w:rsidRPr="00EF4B3F">
        <w:t>Voltage Response</w:t>
      </w:r>
      <w:bookmarkEnd w:id="12"/>
    </w:p>
    <w:p w14:paraId="4012CC2D" w14:textId="77777777" w:rsidR="008C3AE0" w:rsidRDefault="008C3AE0" w:rsidP="005020E4">
      <w:r>
        <w:t>O</w:t>
      </w:r>
      <w:r w:rsidRPr="008C3AE0">
        <w:t xml:space="preserve">perating range for the generators </w:t>
      </w:r>
      <w:r>
        <w:t>should</w:t>
      </w:r>
      <w:r w:rsidRPr="008C3AE0">
        <w:t xml:space="preserve"> be from </w:t>
      </w:r>
      <w:r w:rsidR="004D7AB7">
        <w:t>0.88</w:t>
      </w:r>
      <w:r w:rsidRPr="008C3AE0">
        <w:t xml:space="preserve"> to 1</w:t>
      </w:r>
      <w:r w:rsidR="004D7AB7">
        <w:t>.</w:t>
      </w:r>
      <w:r w:rsidRPr="008C3AE0">
        <w:t>10</w:t>
      </w:r>
      <w:r w:rsidR="004D7AB7">
        <w:t xml:space="preserve"> per unit</w:t>
      </w:r>
      <w:r w:rsidRPr="008C3AE0">
        <w:t xml:space="preserve"> of nominal voltage magnitude. In addition, the generator </w:t>
      </w:r>
      <w:r>
        <w:t>should</w:t>
      </w:r>
      <w:r w:rsidRPr="008C3AE0">
        <w:t xml:space="preserve"> not cause the system voltage at the </w:t>
      </w:r>
      <w:r w:rsidR="00D523CC">
        <w:t>Point of Common Coupling (</w:t>
      </w:r>
      <w:r w:rsidRPr="008C3AE0">
        <w:t>PCC</w:t>
      </w:r>
      <w:r w:rsidR="00D523CC">
        <w:t>)</w:t>
      </w:r>
      <w:r w:rsidRPr="008C3AE0">
        <w:t xml:space="preserve"> to deviate from a range of </w:t>
      </w:r>
      <w:r w:rsidR="004D7AB7">
        <w:t>0.</w:t>
      </w:r>
      <w:r w:rsidRPr="008C3AE0">
        <w:t>95 to 1</w:t>
      </w:r>
      <w:r w:rsidR="004D7AB7">
        <w:t>.</w:t>
      </w:r>
      <w:r w:rsidRPr="008C3AE0">
        <w:t>05</w:t>
      </w:r>
      <w:r w:rsidR="004D7AB7">
        <w:t xml:space="preserve"> per unit</w:t>
      </w:r>
      <w:r w:rsidRPr="008C3AE0">
        <w:t xml:space="preserve"> of the utility system voltage. For excursions outside these limits the protective device </w:t>
      </w:r>
      <w:r>
        <w:t>should</w:t>
      </w:r>
      <w:r w:rsidRPr="008C3AE0">
        <w:t xml:space="preserve"> automatically initiate a disconnect sequence from the utility system as detailed in the most current version of IEEE Std</w:t>
      </w:r>
      <w:r w:rsidR="00D523CC">
        <w:t>.</w:t>
      </w:r>
      <w:r w:rsidRPr="008C3AE0">
        <w:t xml:space="preserve"> 1547. Clearing time is defined as the time the range is initially exceeded until the </w:t>
      </w:r>
      <w:r w:rsidR="00FE6AE6">
        <w:t xml:space="preserve">DER </w:t>
      </w:r>
      <w:r w:rsidRPr="008C3AE0">
        <w:t xml:space="preserve">owner’s equipment ceases to energize the PCC and includes detection and intentional time delay. Other static or dynamic voltage functionalities shall be permitted as agreed upon by the utility and </w:t>
      </w:r>
      <w:r w:rsidR="00FE6AE6">
        <w:t xml:space="preserve">DER </w:t>
      </w:r>
      <w:r w:rsidRPr="008C3AE0">
        <w:t>owner.</w:t>
      </w:r>
    </w:p>
    <w:p w14:paraId="2C2FB683" w14:textId="77777777" w:rsidR="008C3AE0" w:rsidRDefault="008C3AE0" w:rsidP="00714830">
      <w:pPr>
        <w:pStyle w:val="Heading2"/>
      </w:pPr>
      <w:bookmarkStart w:id="13" w:name="_Toc10106977"/>
      <w:r w:rsidRPr="00EF4B3F">
        <w:t xml:space="preserve">Frequency </w:t>
      </w:r>
      <w:r w:rsidR="00553C6B">
        <w:t>Support</w:t>
      </w:r>
      <w:bookmarkEnd w:id="13"/>
    </w:p>
    <w:p w14:paraId="3D79831A" w14:textId="77777777" w:rsidR="00553C6B" w:rsidRPr="00553C6B" w:rsidRDefault="00553C6B" w:rsidP="00553C6B">
      <w:r w:rsidRPr="00553C6B">
        <w:t>Frequency support is provided through the combined interactions of synchronous inertia and frequency response. Working in a coordinated way, these characteristics and services arrest the decline in frequency and eventually return the frequency to the desired level.</w:t>
      </w:r>
      <w:r>
        <w:t xml:space="preserve">  As increased levels of DER are introduced to the system synchronous inertia will be displaced.  Future work in the study of inertia on both an interconnection-wide and local basis will certainly be done in the future.</w:t>
      </w:r>
    </w:p>
    <w:p w14:paraId="79A7492B" w14:textId="77777777" w:rsidR="008C3AE0" w:rsidRDefault="008C3AE0" w:rsidP="008C3AE0">
      <w:r>
        <w:t xml:space="preserve">The operating range for the </w:t>
      </w:r>
      <w:r w:rsidR="001718E1">
        <w:t xml:space="preserve">DER distribution connected </w:t>
      </w:r>
      <w:r w:rsidR="00CB58E9">
        <w:t xml:space="preserve">resources should be similar to that of BES connected resources.  The operating band </w:t>
      </w:r>
      <w:r w:rsidR="001718E1">
        <w:t>for</w:t>
      </w:r>
      <w:r w:rsidR="00CB58E9">
        <w:t xml:space="preserve"> </w:t>
      </w:r>
      <w:r w:rsidR="001718E1">
        <w:t>f</w:t>
      </w:r>
      <w:r w:rsidR="00CB58E9">
        <w:t>requency of a DER resource’s operating range should be at least</w:t>
      </w:r>
      <w:r>
        <w:t xml:space="preserve"> from 59.3 Hz to 60.5 Hz</w:t>
      </w:r>
      <w:r w:rsidR="001718E1">
        <w:t xml:space="preserve"> as required by NPCC and NERC UFLS standards</w:t>
      </w:r>
      <w:r>
        <w:t>.</w:t>
      </w:r>
      <w:r w:rsidR="00553C6B">
        <w:t xml:space="preserve"> </w:t>
      </w:r>
      <w:r>
        <w:t xml:space="preserve"> If deemed necessary</w:t>
      </w:r>
      <w:r w:rsidR="001718E1">
        <w:t>,</w:t>
      </w:r>
      <w:r>
        <w:t xml:space="preserve"> due to abnormal system conditions</w:t>
      </w:r>
      <w:r w:rsidR="00CB58E9">
        <w:t>,</w:t>
      </w:r>
      <w:r>
        <w:t xml:space="preserve"> the utility may request that the generator operate at frequency ranges below 59.3 Hz in coordination with the current under frequency load shedding schemes of NPCC and the local utility system. For excursions outside these limits the protective device shall automatically initiate a disconnect sequence from the utility system as detailed in the most current version of IEEE 1547. Clearing time is defined as the time the range is initially exceeded until the </w:t>
      </w:r>
      <w:r w:rsidR="0005379E">
        <w:t xml:space="preserve">DER </w:t>
      </w:r>
      <w:r>
        <w:t xml:space="preserve">owner’s equipment ceases to energize the PCC and includes detection and intentional time delay. Other static or dynamic frequency functionalities shall be permitted as agreed upon by the utility and </w:t>
      </w:r>
      <w:r w:rsidR="0005379E">
        <w:t xml:space="preserve">DER </w:t>
      </w:r>
      <w:r>
        <w:t>owner.</w:t>
      </w:r>
    </w:p>
    <w:p w14:paraId="21AEF6D3" w14:textId="77777777" w:rsidR="00EF4B3F" w:rsidRPr="00EF4B3F" w:rsidRDefault="00EF4B3F" w:rsidP="00714830">
      <w:pPr>
        <w:pStyle w:val="Heading2"/>
      </w:pPr>
      <w:bookmarkStart w:id="14" w:name="_Toc10106978"/>
      <w:r w:rsidRPr="00EF4B3F">
        <w:t>Reconnection to the Utility System</w:t>
      </w:r>
      <w:bookmarkEnd w:id="14"/>
    </w:p>
    <w:p w14:paraId="503FCE66" w14:textId="77777777" w:rsidR="00EF4B3F" w:rsidRDefault="00EF4B3F" w:rsidP="00EF4B3F">
      <w:r>
        <w:t xml:space="preserve">If the generation facility is disconnected as a result of the operation of a protective device, the </w:t>
      </w:r>
      <w:r w:rsidR="008878E3">
        <w:t xml:space="preserve">DER </w:t>
      </w:r>
      <w:r>
        <w:t>owner’s equipment shall remain disconnected until the utility’s service voltage and frequency have recovered to acceptable voltage and frequency limits as defined in the most current version of IEEE Std</w:t>
      </w:r>
      <w:r w:rsidR="001718E1">
        <w:t>.</w:t>
      </w:r>
      <w:r>
        <w:t xml:space="preserve"> 1547 for a minimum of five (5) minutes. Systems greater </w:t>
      </w:r>
      <w:r w:rsidRPr="00EF4B3F">
        <w:t>than 25 kW that do not utilize inverter based interface equipment shall not have automatic recloser capability unless otherwise approved by the utility. If the utility determines that a facility must receive permission to reconnect, then any automatic reclosing functions must be disabled and verified to be disabled during verification testing.</w:t>
      </w:r>
    </w:p>
    <w:p w14:paraId="3ADDFF6A" w14:textId="77777777" w:rsidR="001718E1" w:rsidRDefault="001718E1" w:rsidP="00EF4B3F">
      <w:r>
        <w:lastRenderedPageBreak/>
        <w:t xml:space="preserve">Utilities in other parts of the Eastern Interconnection who have experienced increased levels of </w:t>
      </w:r>
      <w:r w:rsidR="00C50F9E">
        <w:t xml:space="preserve">DER have determined that during system restoration, DER should not be allowed to return to service until the system has been reestablished and is in a stable operating state.  As traditional resources on the BES are retired and the grid is will be increasingly reliant on grid edge DER on the distribution, Black Start and System Restoration plans will have to be adjusted accordingly. </w:t>
      </w:r>
    </w:p>
    <w:p w14:paraId="719C4F9C" w14:textId="77777777" w:rsidR="00A46E93" w:rsidRPr="00A46E93" w:rsidRDefault="00A46E93" w:rsidP="00714830">
      <w:pPr>
        <w:pStyle w:val="Heading2"/>
      </w:pPr>
      <w:bookmarkStart w:id="15" w:name="_Toc10106979"/>
      <w:r w:rsidRPr="00A46E93">
        <w:t>Inverters</w:t>
      </w:r>
      <w:bookmarkEnd w:id="15"/>
    </w:p>
    <w:p w14:paraId="14A7062A" w14:textId="77777777" w:rsidR="00A46E93" w:rsidRDefault="00A46E93" w:rsidP="00A46E93">
      <w:r>
        <w:t xml:space="preserve">Direct current generation can only be installed in parallel with the utility’s system using a synchronous inverter. The design shall be such as to disconnect </w:t>
      </w:r>
      <w:r w:rsidR="008878E3">
        <w:t>the</w:t>
      </w:r>
      <w:r>
        <w:t xml:space="preserve"> synchronous inverter upon a utility system event. Inverters intended to provide local grid support during system events that result in voltage and/or frequency excursions as described in </w:t>
      </w:r>
      <w:r w:rsidR="008878E3">
        <w:t>this document and</w:t>
      </w:r>
      <w:r>
        <w:t xml:space="preserve"> shall be provided with the required onboard functionality to allow for the equipment to remain online for the duration of the event.</w:t>
      </w:r>
    </w:p>
    <w:p w14:paraId="66A441B6" w14:textId="77777777" w:rsidR="005E29E1" w:rsidRDefault="005E29E1" w:rsidP="005E29E1">
      <w:r>
        <w:t>All applicable inverter-based applications shall:</w:t>
      </w:r>
    </w:p>
    <w:p w14:paraId="4679D5C2" w14:textId="77777777" w:rsidR="005E29E1" w:rsidRDefault="005E29E1" w:rsidP="005E29E1">
      <w:pPr>
        <w:pStyle w:val="ListParagraph"/>
        <w:numPr>
          <w:ilvl w:val="0"/>
          <w:numId w:val="16"/>
        </w:numPr>
      </w:pPr>
      <w:r>
        <w:t>be certified per the requirements of UL 1741 SA as a grid support utility interactive inverter</w:t>
      </w:r>
    </w:p>
    <w:p w14:paraId="4B0A49DE" w14:textId="77777777" w:rsidR="005E29E1" w:rsidRDefault="005E29E1" w:rsidP="005E29E1">
      <w:pPr>
        <w:pStyle w:val="ListParagraph"/>
        <w:numPr>
          <w:ilvl w:val="0"/>
          <w:numId w:val="16"/>
        </w:numPr>
      </w:pPr>
      <w:r>
        <w:t>have the voltage and frequency trip settings</w:t>
      </w:r>
      <w:r w:rsidR="008878E3">
        <w:t xml:space="preserve"> as specified by the interconnecting utility</w:t>
      </w:r>
    </w:p>
    <w:p w14:paraId="64C0B40B" w14:textId="77777777" w:rsidR="005E29E1" w:rsidRDefault="005E29E1" w:rsidP="005E29E1">
      <w:pPr>
        <w:pStyle w:val="ListParagraph"/>
        <w:numPr>
          <w:ilvl w:val="0"/>
          <w:numId w:val="16"/>
        </w:numPr>
      </w:pPr>
      <w:r>
        <w:t>have the abnormal performance capabilities (ride-through)</w:t>
      </w:r>
    </w:p>
    <w:p w14:paraId="4FC80780" w14:textId="77777777" w:rsidR="005E29E1" w:rsidRDefault="005E29E1" w:rsidP="005E29E1">
      <w:pPr>
        <w:pStyle w:val="ListParagraph"/>
        <w:numPr>
          <w:ilvl w:val="0"/>
          <w:numId w:val="16"/>
        </w:numPr>
      </w:pPr>
      <w:r>
        <w:t>comply with other grid support utility interactive inverter functions statuses</w:t>
      </w:r>
    </w:p>
    <w:p w14:paraId="47D49CDB" w14:textId="77777777" w:rsidR="00A46E93" w:rsidRDefault="00A46E93" w:rsidP="00A46E93">
      <w:r>
        <w:t>It is recommended that equipment be selected from the Department of Public Service “Certified Interconnection Equipment list” maintained on the Commission’s website. Interconnected DG systems utilizing equipment not found in such list must meet all functional requirements of the current version of IEEE Std 1547 and be protected by utility grade relays (as defined in these requirements) using settings approved by the utility and verified in the field. The field verification test must demonstrate that the equipment meets the voltage and frequency requirements detailed in this section.</w:t>
      </w:r>
    </w:p>
    <w:p w14:paraId="429251DA" w14:textId="77777777" w:rsidR="00A46E93" w:rsidRDefault="00A46E93" w:rsidP="00A46E93">
      <w:r>
        <w:t>Synchronization or re-synchronization of an inverter to the utility system shall not result in a voltage deviation that exceeds the requirements contained in Section II.E, Power Quality. Only inverters designed to operate in parallel with the utility system shall be utilized for that purpose.</w:t>
      </w:r>
    </w:p>
    <w:p w14:paraId="025AFF4D" w14:textId="77777777" w:rsidR="00222E65" w:rsidRPr="00222E65" w:rsidRDefault="00222E65" w:rsidP="00714830">
      <w:pPr>
        <w:pStyle w:val="Heading2"/>
      </w:pPr>
      <w:bookmarkStart w:id="16" w:name="_Toc10106980"/>
      <w:r w:rsidRPr="00222E65">
        <w:t>Certification per UL 1741 SA as grid support utility interactive inverters</w:t>
      </w:r>
      <w:bookmarkEnd w:id="16"/>
    </w:p>
    <w:p w14:paraId="7800DE0C" w14:textId="77777777" w:rsidR="00222E65" w:rsidRDefault="00222E65" w:rsidP="00222E65">
      <w:r>
        <w:t>In the interim period while IEEE P1547.1 is not yet revised and published, certification of all inverter-based applications:</w:t>
      </w:r>
    </w:p>
    <w:p w14:paraId="54537197" w14:textId="61F6C967" w:rsidR="00222E65" w:rsidRDefault="00AC73B0" w:rsidP="00222E65">
      <w:pPr>
        <w:pStyle w:val="ListParagraph"/>
        <w:numPr>
          <w:ilvl w:val="0"/>
          <w:numId w:val="17"/>
        </w:numPr>
      </w:pPr>
      <w:r>
        <w:t>Shall</w:t>
      </w:r>
      <w:r w:rsidR="00222E65">
        <w:t xml:space="preserve"> be compliant with only those parts of Clause 6 (Response to Area EPS abnormal conditions) of IEEE Std 1547-2018 (2nd ed.)1 that can be certified per the type test requirements of UL 1741 SA (September 2016). IEEE Std</w:t>
      </w:r>
      <w:r w:rsidR="008B28C5">
        <w:t>.</w:t>
      </w:r>
      <w:r w:rsidR="00222E65">
        <w:t xml:space="preserve"> 1547-2018 (2nd ed.) in combination with this document replaces other Source Requirements Documents (SRDs), as applicable;</w:t>
      </w:r>
    </w:p>
    <w:p w14:paraId="203988BF" w14:textId="5DE489F1" w:rsidR="00222E65" w:rsidRDefault="00AC73B0" w:rsidP="00222E65">
      <w:pPr>
        <w:pStyle w:val="ListParagraph"/>
        <w:numPr>
          <w:ilvl w:val="0"/>
          <w:numId w:val="17"/>
        </w:numPr>
      </w:pPr>
      <w:r>
        <w:t>May</w:t>
      </w:r>
      <w:r w:rsidR="00222E65">
        <w:t xml:space="preserve"> be sufficiently achieved by certifying inverters as grid support utility interactive inverters per the requirements of UL 1741 SA (September 2016) with either CA Rule 21 or Hawaiian Rule 14H as the S</w:t>
      </w:r>
      <w:r w:rsidR="00714830">
        <w:t xml:space="preserve">ource </w:t>
      </w:r>
      <w:r w:rsidR="00222E65">
        <w:t>R</w:t>
      </w:r>
      <w:r w:rsidR="00714830">
        <w:t xml:space="preserve">equirement </w:t>
      </w:r>
      <w:r w:rsidR="00222E65">
        <w:t>D</w:t>
      </w:r>
      <w:r w:rsidR="00714830">
        <w:t>ocument (SRD)</w:t>
      </w:r>
      <w:r w:rsidR="00222E65">
        <w:t>. Such inverters are deemed capable of meeting the requirements of this document.</w:t>
      </w:r>
    </w:p>
    <w:p w14:paraId="5A3FC786" w14:textId="77777777" w:rsidR="00222E65" w:rsidRDefault="00222E65" w:rsidP="00222E65">
      <w:pPr>
        <w:pStyle w:val="ListParagraph"/>
        <w:numPr>
          <w:ilvl w:val="0"/>
          <w:numId w:val="17"/>
        </w:numPr>
      </w:pPr>
      <w:r>
        <w:t xml:space="preserve">Applications </w:t>
      </w:r>
      <w:r w:rsidR="00714830">
        <w:t>should</w:t>
      </w:r>
      <w:r>
        <w:t xml:space="preserve"> have the voltage and frequency trip points specified in Tables I and II below.</w:t>
      </w:r>
    </w:p>
    <w:p w14:paraId="5BD64C19" w14:textId="77777777" w:rsidR="00222E65" w:rsidRDefault="00222E65" w:rsidP="00222E65">
      <w:pPr>
        <w:pStyle w:val="ListParagraph"/>
        <w:numPr>
          <w:ilvl w:val="0"/>
          <w:numId w:val="17"/>
        </w:numPr>
      </w:pPr>
      <w:r>
        <w:lastRenderedPageBreak/>
        <w:t>Abnormal performance capability (ride-through) requirements for inverter based applications shall have the ride-through capability per abnormal performance category II of IEEE Std 1547-2018 (2nd ed.) as quoted in Tables III and IV.</w:t>
      </w:r>
    </w:p>
    <w:p w14:paraId="473254EA" w14:textId="77777777" w:rsidR="00222E65" w:rsidRDefault="00222E65" w:rsidP="00222E65">
      <w:r>
        <w:t>The following additional performance requirements shall apply for all inverters:</w:t>
      </w:r>
    </w:p>
    <w:p w14:paraId="70F07C2E" w14:textId="77777777" w:rsidR="00222E65" w:rsidRDefault="00222E65" w:rsidP="00222E65">
      <w:pPr>
        <w:pStyle w:val="ListParagraph"/>
        <w:numPr>
          <w:ilvl w:val="0"/>
          <w:numId w:val="18"/>
        </w:numPr>
      </w:pPr>
      <w:r>
        <w:t>In the Permissive Operation region above 0.5 p.u., inverters shall ride-through in Mandatory Operation mode, and</w:t>
      </w:r>
    </w:p>
    <w:p w14:paraId="54D8F57C" w14:textId="77777777" w:rsidR="00222E65" w:rsidRDefault="00222E65" w:rsidP="00222E65">
      <w:pPr>
        <w:pStyle w:val="ListParagraph"/>
        <w:numPr>
          <w:ilvl w:val="0"/>
          <w:numId w:val="18"/>
        </w:numPr>
      </w:pPr>
      <w:r>
        <w:t>In the Permissive Operation region below 0.5 p.u., inverters shall ride-through in Momentary Cessation mode.</w:t>
      </w:r>
    </w:p>
    <w:p w14:paraId="224E6ACB" w14:textId="77777777" w:rsidR="00EB038A" w:rsidRDefault="00EB038A" w:rsidP="003762B7">
      <w:pPr>
        <w:pStyle w:val="BodyText"/>
        <w:kinsoku w:val="0"/>
        <w:overflowPunct w:val="0"/>
        <w:jc w:val="center"/>
        <w:rPr>
          <w:b/>
          <w:bCs/>
          <w:sz w:val="8"/>
          <w:szCs w:val="8"/>
        </w:rPr>
      </w:pPr>
      <w:r>
        <w:rPr>
          <w:rFonts w:ascii="Times New Roman" w:hAnsi="Times New Roman" w:cs="Times New Roman"/>
          <w:noProof/>
          <w:sz w:val="20"/>
          <w:szCs w:val="20"/>
        </w:rPr>
        <w:drawing>
          <wp:inline distT="0" distB="0" distL="0" distR="0" wp14:anchorId="398A44C4" wp14:editId="087CDBBD">
            <wp:extent cx="6350" cy="158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50" cy="15875"/>
                    </a:xfrm>
                    <a:prstGeom prst="rect">
                      <a:avLst/>
                    </a:prstGeom>
                    <a:noFill/>
                    <a:ln>
                      <a:noFill/>
                    </a:ln>
                  </pic:spPr>
                </pic:pic>
              </a:graphicData>
            </a:graphic>
          </wp:inline>
        </w:drawing>
      </w:r>
      <w:r w:rsidRPr="003762B7">
        <w:rPr>
          <w:b/>
          <w:color w:val="000000" w:themeColor="text1"/>
          <w:sz w:val="22"/>
          <w:szCs w:val="22"/>
        </w:rPr>
        <w:t>Table I: Inverters’ Voltage Trip Settings</w:t>
      </w:r>
      <w:r w:rsidR="00714830">
        <w:rPr>
          <w:b/>
          <w:color w:val="000000" w:themeColor="text1"/>
          <w:sz w:val="22"/>
          <w:szCs w:val="22"/>
        </w:rPr>
        <w:t xml:space="preserve"> (ISO-NE Tech Bulletin)</w:t>
      </w:r>
    </w:p>
    <w:tbl>
      <w:tblPr>
        <w:tblW w:w="0" w:type="auto"/>
        <w:tblInd w:w="101" w:type="dxa"/>
        <w:tblLayout w:type="fixed"/>
        <w:tblCellMar>
          <w:left w:w="0" w:type="dxa"/>
          <w:right w:w="0" w:type="dxa"/>
        </w:tblCellMar>
        <w:tblLook w:val="0000" w:firstRow="0" w:lastRow="0" w:firstColumn="0" w:lastColumn="0" w:noHBand="0" w:noVBand="0"/>
      </w:tblPr>
      <w:tblGrid>
        <w:gridCol w:w="1435"/>
        <w:gridCol w:w="2554"/>
        <w:gridCol w:w="1498"/>
        <w:gridCol w:w="1756"/>
        <w:gridCol w:w="1598"/>
        <w:gridCol w:w="1260"/>
      </w:tblGrid>
      <w:tr w:rsidR="00EB038A" w14:paraId="4CADDC8A" w14:textId="77777777">
        <w:trPr>
          <w:trHeight w:hRule="exact" w:val="351"/>
        </w:trPr>
        <w:tc>
          <w:tcPr>
            <w:tcW w:w="10101" w:type="dxa"/>
            <w:gridSpan w:val="6"/>
            <w:tcBorders>
              <w:top w:val="single" w:sz="4" w:space="0" w:color="000000"/>
              <w:left w:val="single" w:sz="4" w:space="0" w:color="000000"/>
              <w:bottom w:val="single" w:sz="4" w:space="0" w:color="000000"/>
              <w:right w:val="single" w:sz="4" w:space="0" w:color="000000"/>
            </w:tcBorders>
            <w:shd w:val="clear" w:color="auto" w:fill="BEBEBE"/>
          </w:tcPr>
          <w:p w14:paraId="3563B1EF" w14:textId="77777777" w:rsidR="00EB038A" w:rsidRDefault="00EB038A">
            <w:pPr>
              <w:pStyle w:val="TableParagraph"/>
              <w:kinsoku w:val="0"/>
              <w:overflowPunct w:val="0"/>
              <w:spacing w:before="26"/>
              <w:ind w:left="3154"/>
              <w:jc w:val="left"/>
              <w:rPr>
                <w:rFonts w:ascii="Times New Roman" w:hAnsi="Times New Roman" w:cs="Times New Roman"/>
              </w:rPr>
            </w:pPr>
            <w:r>
              <w:rPr>
                <w:b/>
                <w:bCs/>
                <w:sz w:val="18"/>
                <w:szCs w:val="18"/>
              </w:rPr>
              <w:t>Shall Trip – IEEE Std 1547-2018 (2</w:t>
            </w:r>
            <w:r>
              <w:rPr>
                <w:b/>
                <w:bCs/>
                <w:position w:val="9"/>
                <w:sz w:val="12"/>
                <w:szCs w:val="12"/>
              </w:rPr>
              <w:t xml:space="preserve">nd </w:t>
            </w:r>
            <w:r>
              <w:rPr>
                <w:b/>
                <w:bCs/>
                <w:sz w:val="18"/>
                <w:szCs w:val="18"/>
              </w:rPr>
              <w:t>ed.) Category II</w:t>
            </w:r>
          </w:p>
        </w:tc>
      </w:tr>
      <w:tr w:rsidR="00EB038A" w14:paraId="3E786E30" w14:textId="77777777">
        <w:trPr>
          <w:trHeight w:hRule="exact" w:val="670"/>
        </w:trPr>
        <w:tc>
          <w:tcPr>
            <w:tcW w:w="1435"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44F2753F" w14:textId="77777777" w:rsidR="00EB038A" w:rsidRDefault="00EB038A">
            <w:pPr>
              <w:pStyle w:val="TableParagraph"/>
              <w:kinsoku w:val="0"/>
              <w:overflowPunct w:val="0"/>
              <w:jc w:val="left"/>
              <w:rPr>
                <w:b/>
                <w:bCs/>
                <w:sz w:val="18"/>
                <w:szCs w:val="18"/>
              </w:rPr>
            </w:pPr>
          </w:p>
          <w:p w14:paraId="2488C6EF" w14:textId="77777777" w:rsidR="00EB038A" w:rsidRDefault="00EB038A">
            <w:pPr>
              <w:pStyle w:val="TableParagraph"/>
              <w:kinsoku w:val="0"/>
              <w:overflowPunct w:val="0"/>
              <w:spacing w:before="114"/>
              <w:ind w:left="386" w:right="346" w:hanging="20"/>
              <w:jc w:val="left"/>
              <w:rPr>
                <w:rFonts w:ascii="Times New Roman" w:hAnsi="Times New Roman" w:cs="Times New Roman"/>
              </w:rPr>
            </w:pPr>
            <w:r>
              <w:rPr>
                <w:b/>
                <w:bCs/>
                <w:sz w:val="18"/>
                <w:szCs w:val="18"/>
              </w:rPr>
              <w:t>Shall Trip Function</w:t>
            </w:r>
          </w:p>
        </w:tc>
        <w:tc>
          <w:tcPr>
            <w:tcW w:w="4052" w:type="dxa"/>
            <w:gridSpan w:val="2"/>
            <w:tcBorders>
              <w:top w:val="single" w:sz="4" w:space="0" w:color="000000"/>
              <w:left w:val="single" w:sz="4" w:space="0" w:color="000000"/>
              <w:bottom w:val="single" w:sz="4" w:space="0" w:color="000000"/>
              <w:right w:val="single" w:sz="4" w:space="0" w:color="000000"/>
            </w:tcBorders>
            <w:shd w:val="clear" w:color="auto" w:fill="BEBEBE"/>
          </w:tcPr>
          <w:p w14:paraId="2E447885" w14:textId="77777777" w:rsidR="00EB038A" w:rsidRDefault="00EB038A">
            <w:pPr>
              <w:pStyle w:val="TableParagraph"/>
              <w:kinsoku w:val="0"/>
              <w:overflowPunct w:val="0"/>
              <w:jc w:val="left"/>
              <w:rPr>
                <w:b/>
                <w:bCs/>
                <w:sz w:val="18"/>
                <w:szCs w:val="18"/>
              </w:rPr>
            </w:pPr>
          </w:p>
          <w:p w14:paraId="13D05AEA" w14:textId="77777777" w:rsidR="00EB038A" w:rsidRDefault="00EB038A">
            <w:pPr>
              <w:pStyle w:val="TableParagraph"/>
              <w:kinsoku w:val="0"/>
              <w:overflowPunct w:val="0"/>
              <w:ind w:left="1338" w:right="1343"/>
              <w:rPr>
                <w:rFonts w:ascii="Times New Roman" w:hAnsi="Times New Roman" w:cs="Times New Roman"/>
              </w:rPr>
            </w:pPr>
            <w:r>
              <w:rPr>
                <w:b/>
                <w:bCs/>
                <w:sz w:val="18"/>
                <w:szCs w:val="18"/>
              </w:rPr>
              <w:t>Required Settings</w:t>
            </w:r>
          </w:p>
        </w:tc>
        <w:tc>
          <w:tcPr>
            <w:tcW w:w="4614" w:type="dxa"/>
            <w:gridSpan w:val="3"/>
            <w:tcBorders>
              <w:top w:val="single" w:sz="4" w:space="0" w:color="000000"/>
              <w:left w:val="single" w:sz="4" w:space="0" w:color="000000"/>
              <w:bottom w:val="single" w:sz="4" w:space="0" w:color="000000"/>
              <w:right w:val="single" w:sz="4" w:space="0" w:color="000000"/>
            </w:tcBorders>
            <w:shd w:val="clear" w:color="auto" w:fill="BEBEBE"/>
          </w:tcPr>
          <w:p w14:paraId="3B3C7942" w14:textId="77777777" w:rsidR="00EB038A" w:rsidRDefault="00EB038A">
            <w:pPr>
              <w:pStyle w:val="TableParagraph"/>
              <w:kinsoku w:val="0"/>
              <w:overflowPunct w:val="0"/>
              <w:spacing w:line="219" w:lineRule="exact"/>
              <w:ind w:left="696"/>
              <w:jc w:val="left"/>
              <w:rPr>
                <w:b/>
                <w:bCs/>
                <w:sz w:val="18"/>
                <w:szCs w:val="18"/>
              </w:rPr>
            </w:pPr>
            <w:r>
              <w:rPr>
                <w:b/>
                <w:bCs/>
                <w:sz w:val="18"/>
                <w:szCs w:val="18"/>
              </w:rPr>
              <w:t>Comparison to IEEE Std 1547-2018 (2</w:t>
            </w:r>
            <w:r>
              <w:rPr>
                <w:b/>
                <w:bCs/>
                <w:position w:val="9"/>
                <w:sz w:val="12"/>
                <w:szCs w:val="12"/>
              </w:rPr>
              <w:t xml:space="preserve">nd </w:t>
            </w:r>
            <w:r>
              <w:rPr>
                <w:b/>
                <w:bCs/>
                <w:sz w:val="18"/>
                <w:szCs w:val="18"/>
              </w:rPr>
              <w:t>ed.)</w:t>
            </w:r>
          </w:p>
          <w:p w14:paraId="1A049FF0" w14:textId="77777777" w:rsidR="00EB038A" w:rsidRDefault="00EB038A">
            <w:pPr>
              <w:pStyle w:val="TableParagraph"/>
              <w:kinsoku w:val="0"/>
              <w:overflowPunct w:val="0"/>
              <w:spacing w:before="1"/>
              <w:ind w:left="1898" w:right="349" w:hanging="1534"/>
              <w:jc w:val="left"/>
              <w:rPr>
                <w:rFonts w:ascii="Times New Roman" w:hAnsi="Times New Roman" w:cs="Times New Roman"/>
              </w:rPr>
            </w:pPr>
            <w:r>
              <w:rPr>
                <w:b/>
                <w:bCs/>
                <w:sz w:val="18"/>
                <w:szCs w:val="18"/>
              </w:rPr>
              <w:t>default settings and ranges of allowable settings for Category II</w:t>
            </w:r>
          </w:p>
        </w:tc>
      </w:tr>
      <w:tr w:rsidR="00EB038A" w14:paraId="25F8C4EE" w14:textId="77777777">
        <w:trPr>
          <w:trHeight w:hRule="exact" w:val="888"/>
        </w:trPr>
        <w:tc>
          <w:tcPr>
            <w:tcW w:w="1435" w:type="dxa"/>
            <w:vMerge/>
            <w:tcBorders>
              <w:top w:val="single" w:sz="4" w:space="0" w:color="000000"/>
              <w:left w:val="single" w:sz="4" w:space="0" w:color="000000"/>
              <w:bottom w:val="single" w:sz="4" w:space="0" w:color="000000"/>
              <w:right w:val="single" w:sz="4" w:space="0" w:color="000000"/>
            </w:tcBorders>
            <w:shd w:val="clear" w:color="auto" w:fill="BEBEBE"/>
          </w:tcPr>
          <w:p w14:paraId="2D280387" w14:textId="77777777" w:rsidR="00EB038A" w:rsidRDefault="00EB038A">
            <w:pPr>
              <w:pStyle w:val="TableParagraph"/>
              <w:kinsoku w:val="0"/>
              <w:overflowPunct w:val="0"/>
              <w:spacing w:before="1"/>
              <w:ind w:left="1898" w:right="349" w:hanging="1534"/>
              <w:jc w:val="left"/>
              <w:rPr>
                <w:rFonts w:ascii="Times New Roman" w:hAnsi="Times New Roman" w:cs="Times New Roman"/>
              </w:rPr>
            </w:pPr>
          </w:p>
        </w:tc>
        <w:tc>
          <w:tcPr>
            <w:tcW w:w="2554" w:type="dxa"/>
            <w:tcBorders>
              <w:top w:val="single" w:sz="4" w:space="0" w:color="000000"/>
              <w:left w:val="single" w:sz="4" w:space="0" w:color="000000"/>
              <w:bottom w:val="single" w:sz="4" w:space="0" w:color="000000"/>
              <w:right w:val="none" w:sz="6" w:space="0" w:color="auto"/>
            </w:tcBorders>
            <w:shd w:val="clear" w:color="auto" w:fill="BEBEBE"/>
          </w:tcPr>
          <w:p w14:paraId="731C0E95" w14:textId="77777777" w:rsidR="00EB038A" w:rsidRDefault="00EB038A">
            <w:pPr>
              <w:pStyle w:val="TableParagraph"/>
              <w:kinsoku w:val="0"/>
              <w:overflowPunct w:val="0"/>
              <w:spacing w:before="9"/>
              <w:jc w:val="left"/>
              <w:rPr>
                <w:b/>
                <w:bCs/>
                <w:sz w:val="17"/>
                <w:szCs w:val="17"/>
              </w:rPr>
            </w:pPr>
          </w:p>
          <w:p w14:paraId="16686158" w14:textId="77777777" w:rsidR="00EB038A" w:rsidRDefault="00EB038A">
            <w:pPr>
              <w:pStyle w:val="TableParagraph"/>
              <w:kinsoku w:val="0"/>
              <w:overflowPunct w:val="0"/>
              <w:spacing w:before="1"/>
              <w:ind w:left="285" w:right="377"/>
              <w:rPr>
                <w:b/>
                <w:bCs/>
                <w:sz w:val="18"/>
                <w:szCs w:val="18"/>
              </w:rPr>
            </w:pPr>
            <w:r>
              <w:rPr>
                <w:b/>
                <w:bCs/>
                <w:sz w:val="18"/>
                <w:szCs w:val="18"/>
              </w:rPr>
              <w:t>Voltage</w:t>
            </w:r>
          </w:p>
          <w:p w14:paraId="3D6B2025" w14:textId="77777777" w:rsidR="00EB038A" w:rsidRDefault="00EB038A">
            <w:pPr>
              <w:pStyle w:val="TableParagraph"/>
              <w:kinsoku w:val="0"/>
              <w:overflowPunct w:val="0"/>
              <w:spacing w:before="1"/>
              <w:ind w:left="285" w:right="379"/>
              <w:rPr>
                <w:rFonts w:ascii="Times New Roman" w:hAnsi="Times New Roman" w:cs="Times New Roman"/>
              </w:rPr>
            </w:pPr>
            <w:r>
              <w:rPr>
                <w:b/>
                <w:bCs/>
                <w:sz w:val="18"/>
                <w:szCs w:val="18"/>
              </w:rPr>
              <w:t>(p.u. of nominal voltage)</w:t>
            </w:r>
          </w:p>
        </w:tc>
        <w:tc>
          <w:tcPr>
            <w:tcW w:w="1498" w:type="dxa"/>
            <w:tcBorders>
              <w:top w:val="single" w:sz="4" w:space="0" w:color="000000"/>
              <w:left w:val="none" w:sz="6" w:space="0" w:color="auto"/>
              <w:bottom w:val="single" w:sz="4" w:space="0" w:color="000000"/>
              <w:right w:val="single" w:sz="4" w:space="0" w:color="000000"/>
            </w:tcBorders>
            <w:shd w:val="clear" w:color="auto" w:fill="BEBEBE"/>
          </w:tcPr>
          <w:p w14:paraId="51BD079A" w14:textId="77777777" w:rsidR="00EB038A" w:rsidRDefault="00EB038A">
            <w:pPr>
              <w:pStyle w:val="TableParagraph"/>
              <w:kinsoku w:val="0"/>
              <w:overflowPunct w:val="0"/>
              <w:spacing w:before="9"/>
              <w:jc w:val="left"/>
              <w:rPr>
                <w:b/>
                <w:bCs/>
                <w:sz w:val="17"/>
                <w:szCs w:val="17"/>
              </w:rPr>
            </w:pPr>
          </w:p>
          <w:p w14:paraId="5BD988D1" w14:textId="77777777" w:rsidR="00EB038A" w:rsidRDefault="00EB038A" w:rsidP="0019085F">
            <w:pPr>
              <w:pStyle w:val="TableParagraph"/>
              <w:kinsoku w:val="0"/>
              <w:overflowPunct w:val="0"/>
              <w:spacing w:before="1"/>
              <w:ind w:left="427" w:right="464" w:hanging="27"/>
              <w:jc w:val="left"/>
              <w:rPr>
                <w:rFonts w:ascii="Times New Roman" w:hAnsi="Times New Roman" w:cs="Times New Roman"/>
              </w:rPr>
            </w:pPr>
            <w:r>
              <w:rPr>
                <w:b/>
                <w:bCs/>
                <w:sz w:val="18"/>
                <w:szCs w:val="18"/>
              </w:rPr>
              <w:t>Clearing Time(s)</w:t>
            </w:r>
          </w:p>
        </w:tc>
        <w:tc>
          <w:tcPr>
            <w:tcW w:w="1756" w:type="dxa"/>
            <w:tcBorders>
              <w:top w:val="single" w:sz="4" w:space="0" w:color="000000"/>
              <w:left w:val="single" w:sz="4" w:space="0" w:color="000000"/>
              <w:bottom w:val="single" w:sz="4" w:space="0" w:color="000000"/>
              <w:right w:val="none" w:sz="6" w:space="0" w:color="auto"/>
            </w:tcBorders>
            <w:shd w:val="clear" w:color="auto" w:fill="BEBEBE"/>
          </w:tcPr>
          <w:p w14:paraId="4362AD04" w14:textId="77777777" w:rsidR="00EB038A" w:rsidRDefault="00EB038A">
            <w:pPr>
              <w:pStyle w:val="TableParagraph"/>
              <w:kinsoku w:val="0"/>
              <w:overflowPunct w:val="0"/>
              <w:spacing w:before="10"/>
              <w:jc w:val="left"/>
              <w:rPr>
                <w:b/>
                <w:bCs/>
                <w:sz w:val="26"/>
                <w:szCs w:val="26"/>
              </w:rPr>
            </w:pPr>
          </w:p>
          <w:p w14:paraId="3B944C4B" w14:textId="77777777" w:rsidR="00EB038A" w:rsidRDefault="00EB038A">
            <w:pPr>
              <w:pStyle w:val="TableParagraph"/>
              <w:kinsoku w:val="0"/>
              <w:overflowPunct w:val="0"/>
              <w:ind w:left="574"/>
              <w:jc w:val="left"/>
              <w:rPr>
                <w:rFonts w:ascii="Times New Roman" w:hAnsi="Times New Roman" w:cs="Times New Roman"/>
              </w:rPr>
            </w:pPr>
            <w:r>
              <w:rPr>
                <w:b/>
                <w:bCs/>
                <w:sz w:val="18"/>
                <w:szCs w:val="18"/>
              </w:rPr>
              <w:t>Voltage</w:t>
            </w:r>
          </w:p>
        </w:tc>
        <w:tc>
          <w:tcPr>
            <w:tcW w:w="1598" w:type="dxa"/>
            <w:tcBorders>
              <w:top w:val="single" w:sz="4" w:space="0" w:color="000000"/>
              <w:left w:val="none" w:sz="6" w:space="0" w:color="auto"/>
              <w:bottom w:val="single" w:sz="4" w:space="0" w:color="000000"/>
              <w:right w:val="single" w:sz="4" w:space="0" w:color="7F7F7F"/>
            </w:tcBorders>
            <w:shd w:val="clear" w:color="auto" w:fill="BEBEBE"/>
          </w:tcPr>
          <w:p w14:paraId="433FAAEB" w14:textId="77777777" w:rsidR="00EB038A" w:rsidRDefault="00EB038A">
            <w:pPr>
              <w:pStyle w:val="TableParagraph"/>
              <w:kinsoku w:val="0"/>
              <w:overflowPunct w:val="0"/>
              <w:spacing w:before="9"/>
              <w:jc w:val="left"/>
              <w:rPr>
                <w:b/>
                <w:bCs/>
                <w:sz w:val="17"/>
                <w:szCs w:val="17"/>
              </w:rPr>
            </w:pPr>
          </w:p>
          <w:p w14:paraId="7C8CD2C2" w14:textId="77777777" w:rsidR="00EB038A" w:rsidRDefault="00EB038A">
            <w:pPr>
              <w:pStyle w:val="TableParagraph"/>
              <w:kinsoku w:val="0"/>
              <w:overflowPunct w:val="0"/>
              <w:spacing w:before="1"/>
              <w:ind w:left="510" w:right="483" w:hanging="29"/>
              <w:jc w:val="left"/>
              <w:rPr>
                <w:rFonts w:ascii="Times New Roman" w:hAnsi="Times New Roman" w:cs="Times New Roman"/>
              </w:rPr>
            </w:pPr>
            <w:r>
              <w:rPr>
                <w:b/>
                <w:bCs/>
                <w:sz w:val="18"/>
                <w:szCs w:val="18"/>
              </w:rPr>
              <w:t>Clearing Time(s)</w:t>
            </w:r>
          </w:p>
        </w:tc>
        <w:tc>
          <w:tcPr>
            <w:tcW w:w="1260" w:type="dxa"/>
            <w:tcBorders>
              <w:top w:val="single" w:sz="4" w:space="0" w:color="000000"/>
              <w:left w:val="single" w:sz="4" w:space="0" w:color="7F7F7F"/>
              <w:bottom w:val="single" w:sz="4" w:space="0" w:color="000000"/>
              <w:right w:val="single" w:sz="4" w:space="0" w:color="000000"/>
            </w:tcBorders>
            <w:shd w:val="clear" w:color="auto" w:fill="BEBEBE"/>
          </w:tcPr>
          <w:p w14:paraId="417E5111" w14:textId="77777777" w:rsidR="00EB038A" w:rsidRDefault="00EB038A">
            <w:pPr>
              <w:pStyle w:val="TableParagraph"/>
              <w:kinsoku w:val="0"/>
              <w:overflowPunct w:val="0"/>
              <w:ind w:left="261" w:right="260" w:hanging="1"/>
              <w:rPr>
                <w:rFonts w:ascii="Times New Roman" w:hAnsi="Times New Roman" w:cs="Times New Roman"/>
              </w:rPr>
            </w:pPr>
            <w:r>
              <w:rPr>
                <w:b/>
                <w:bCs/>
                <w:sz w:val="18"/>
                <w:szCs w:val="18"/>
              </w:rPr>
              <w:t>Within ranges of allowable settings?</w:t>
            </w:r>
          </w:p>
        </w:tc>
      </w:tr>
      <w:tr w:rsidR="00EB038A" w14:paraId="46F4BB31" w14:textId="77777777">
        <w:trPr>
          <w:trHeight w:hRule="exact" w:val="442"/>
        </w:trPr>
        <w:tc>
          <w:tcPr>
            <w:tcW w:w="1435" w:type="dxa"/>
            <w:tcBorders>
              <w:top w:val="single" w:sz="4" w:space="0" w:color="000000"/>
              <w:left w:val="single" w:sz="4" w:space="0" w:color="000000"/>
              <w:bottom w:val="single" w:sz="4" w:space="0" w:color="000000"/>
              <w:right w:val="single" w:sz="4" w:space="0" w:color="000000"/>
            </w:tcBorders>
          </w:tcPr>
          <w:p w14:paraId="53A7AA70" w14:textId="77777777" w:rsidR="00EB038A" w:rsidRDefault="00EB038A">
            <w:pPr>
              <w:pStyle w:val="TableParagraph"/>
              <w:kinsoku w:val="0"/>
              <w:overflowPunct w:val="0"/>
              <w:spacing w:before="107"/>
              <w:ind w:left="537" w:right="535"/>
              <w:rPr>
                <w:rFonts w:ascii="Times New Roman" w:hAnsi="Times New Roman" w:cs="Times New Roman"/>
              </w:rPr>
            </w:pPr>
            <w:r>
              <w:rPr>
                <w:sz w:val="18"/>
                <w:szCs w:val="18"/>
              </w:rPr>
              <w:t>OV2</w:t>
            </w:r>
          </w:p>
        </w:tc>
        <w:tc>
          <w:tcPr>
            <w:tcW w:w="2554" w:type="dxa"/>
            <w:tcBorders>
              <w:top w:val="single" w:sz="4" w:space="0" w:color="000000"/>
              <w:left w:val="single" w:sz="4" w:space="0" w:color="000000"/>
              <w:bottom w:val="single" w:sz="4" w:space="0" w:color="000000"/>
              <w:right w:val="none" w:sz="6" w:space="0" w:color="auto"/>
            </w:tcBorders>
          </w:tcPr>
          <w:p w14:paraId="62426B91" w14:textId="77777777" w:rsidR="00EB038A" w:rsidRDefault="00EB038A">
            <w:pPr>
              <w:pStyle w:val="TableParagraph"/>
              <w:kinsoku w:val="0"/>
              <w:overflowPunct w:val="0"/>
              <w:spacing w:before="107"/>
              <w:ind w:left="285" w:right="376"/>
              <w:rPr>
                <w:rFonts w:ascii="Times New Roman" w:hAnsi="Times New Roman" w:cs="Times New Roman"/>
              </w:rPr>
            </w:pPr>
            <w:r>
              <w:rPr>
                <w:sz w:val="18"/>
                <w:szCs w:val="18"/>
              </w:rPr>
              <w:t>1.20</w:t>
            </w:r>
          </w:p>
        </w:tc>
        <w:tc>
          <w:tcPr>
            <w:tcW w:w="1498" w:type="dxa"/>
            <w:tcBorders>
              <w:top w:val="single" w:sz="4" w:space="0" w:color="000000"/>
              <w:left w:val="none" w:sz="6" w:space="0" w:color="auto"/>
              <w:bottom w:val="single" w:sz="4" w:space="0" w:color="000000"/>
              <w:right w:val="single" w:sz="4" w:space="0" w:color="000000"/>
            </w:tcBorders>
          </w:tcPr>
          <w:p w14:paraId="2925948F" w14:textId="77777777" w:rsidR="00EB038A" w:rsidRDefault="00EB038A">
            <w:pPr>
              <w:pStyle w:val="TableParagraph"/>
              <w:kinsoku w:val="0"/>
              <w:overflowPunct w:val="0"/>
              <w:spacing w:before="107"/>
              <w:ind w:left="545"/>
              <w:jc w:val="left"/>
              <w:rPr>
                <w:rFonts w:ascii="Times New Roman" w:hAnsi="Times New Roman" w:cs="Times New Roman"/>
              </w:rPr>
            </w:pPr>
            <w:r>
              <w:rPr>
                <w:sz w:val="18"/>
                <w:szCs w:val="18"/>
              </w:rPr>
              <w:t>0.16</w:t>
            </w:r>
          </w:p>
        </w:tc>
        <w:tc>
          <w:tcPr>
            <w:tcW w:w="1756" w:type="dxa"/>
            <w:tcBorders>
              <w:top w:val="single" w:sz="4" w:space="0" w:color="000000"/>
              <w:left w:val="single" w:sz="4" w:space="0" w:color="000000"/>
              <w:bottom w:val="single" w:sz="4" w:space="0" w:color="000000"/>
              <w:right w:val="none" w:sz="6" w:space="0" w:color="auto"/>
            </w:tcBorders>
          </w:tcPr>
          <w:p w14:paraId="21C10798" w14:textId="77777777" w:rsidR="00EB038A" w:rsidRDefault="00EB038A">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single" w:sz="4" w:space="0" w:color="000000"/>
              <w:right w:val="single" w:sz="4" w:space="0" w:color="7F7F7F"/>
            </w:tcBorders>
          </w:tcPr>
          <w:p w14:paraId="054D1D4D" w14:textId="77777777" w:rsidR="00EB038A" w:rsidRDefault="00EB038A">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single" w:sz="4" w:space="0" w:color="000000"/>
              <w:right w:val="single" w:sz="4" w:space="0" w:color="000000"/>
            </w:tcBorders>
          </w:tcPr>
          <w:p w14:paraId="7A69C698" w14:textId="77777777" w:rsidR="00EB038A" w:rsidRDefault="00EB038A">
            <w:pPr>
              <w:pStyle w:val="TableParagraph"/>
              <w:kinsoku w:val="0"/>
              <w:overflowPunct w:val="0"/>
              <w:spacing w:before="107"/>
              <w:ind w:left="501"/>
              <w:jc w:val="left"/>
              <w:rPr>
                <w:rFonts w:ascii="Times New Roman" w:hAnsi="Times New Roman" w:cs="Times New Roman"/>
              </w:rPr>
            </w:pPr>
            <w:r>
              <w:rPr>
                <w:sz w:val="18"/>
                <w:szCs w:val="18"/>
              </w:rPr>
              <w:t>Yes</w:t>
            </w:r>
          </w:p>
        </w:tc>
      </w:tr>
      <w:tr w:rsidR="00EB038A" w14:paraId="45B66658" w14:textId="77777777">
        <w:trPr>
          <w:trHeight w:hRule="exact" w:val="451"/>
        </w:trPr>
        <w:tc>
          <w:tcPr>
            <w:tcW w:w="1435" w:type="dxa"/>
            <w:tcBorders>
              <w:top w:val="single" w:sz="4" w:space="0" w:color="000000"/>
              <w:left w:val="single" w:sz="4" w:space="0" w:color="000000"/>
              <w:bottom w:val="double" w:sz="4" w:space="0" w:color="000000"/>
              <w:right w:val="single" w:sz="4" w:space="0" w:color="000000"/>
            </w:tcBorders>
          </w:tcPr>
          <w:p w14:paraId="35BE17F3" w14:textId="77777777" w:rsidR="00EB038A" w:rsidRDefault="00EB038A">
            <w:pPr>
              <w:pStyle w:val="TableParagraph"/>
              <w:kinsoku w:val="0"/>
              <w:overflowPunct w:val="0"/>
              <w:spacing w:before="107"/>
              <w:ind w:left="537" w:right="535"/>
              <w:rPr>
                <w:rFonts w:ascii="Times New Roman" w:hAnsi="Times New Roman" w:cs="Times New Roman"/>
              </w:rPr>
            </w:pPr>
            <w:r>
              <w:rPr>
                <w:sz w:val="18"/>
                <w:szCs w:val="18"/>
              </w:rPr>
              <w:t>OV1</w:t>
            </w:r>
          </w:p>
        </w:tc>
        <w:tc>
          <w:tcPr>
            <w:tcW w:w="2554" w:type="dxa"/>
            <w:tcBorders>
              <w:top w:val="single" w:sz="4" w:space="0" w:color="000000"/>
              <w:left w:val="single" w:sz="4" w:space="0" w:color="000000"/>
              <w:bottom w:val="double" w:sz="4" w:space="0" w:color="000000"/>
              <w:right w:val="none" w:sz="6" w:space="0" w:color="auto"/>
            </w:tcBorders>
          </w:tcPr>
          <w:p w14:paraId="58A99440" w14:textId="77777777" w:rsidR="00EB038A" w:rsidRDefault="00EB038A">
            <w:pPr>
              <w:pStyle w:val="TableParagraph"/>
              <w:kinsoku w:val="0"/>
              <w:overflowPunct w:val="0"/>
              <w:spacing w:before="107"/>
              <w:ind w:left="285" w:right="376"/>
              <w:rPr>
                <w:rFonts w:ascii="Times New Roman" w:hAnsi="Times New Roman" w:cs="Times New Roman"/>
              </w:rPr>
            </w:pPr>
            <w:r>
              <w:rPr>
                <w:sz w:val="18"/>
                <w:szCs w:val="18"/>
              </w:rPr>
              <w:t>1.10</w:t>
            </w:r>
          </w:p>
        </w:tc>
        <w:tc>
          <w:tcPr>
            <w:tcW w:w="1498" w:type="dxa"/>
            <w:tcBorders>
              <w:top w:val="single" w:sz="4" w:space="0" w:color="000000"/>
              <w:left w:val="none" w:sz="6" w:space="0" w:color="auto"/>
              <w:bottom w:val="double" w:sz="4" w:space="0" w:color="000000"/>
              <w:right w:val="single" w:sz="4" w:space="0" w:color="000000"/>
            </w:tcBorders>
          </w:tcPr>
          <w:p w14:paraId="7CA94652" w14:textId="77777777" w:rsidR="00EB038A" w:rsidRDefault="00EB038A">
            <w:pPr>
              <w:pStyle w:val="TableParagraph"/>
              <w:kinsoku w:val="0"/>
              <w:overflowPunct w:val="0"/>
              <w:spacing w:before="107"/>
              <w:ind w:left="590"/>
              <w:jc w:val="left"/>
              <w:rPr>
                <w:rFonts w:ascii="Times New Roman" w:hAnsi="Times New Roman" w:cs="Times New Roman"/>
              </w:rPr>
            </w:pPr>
            <w:r>
              <w:rPr>
                <w:sz w:val="18"/>
                <w:szCs w:val="18"/>
              </w:rPr>
              <w:t>2.0</w:t>
            </w:r>
          </w:p>
        </w:tc>
        <w:tc>
          <w:tcPr>
            <w:tcW w:w="1756" w:type="dxa"/>
            <w:tcBorders>
              <w:top w:val="single" w:sz="4" w:space="0" w:color="000000"/>
              <w:left w:val="single" w:sz="4" w:space="0" w:color="000000"/>
              <w:bottom w:val="double" w:sz="4" w:space="0" w:color="000000"/>
              <w:right w:val="none" w:sz="6" w:space="0" w:color="auto"/>
            </w:tcBorders>
          </w:tcPr>
          <w:p w14:paraId="04FBA749" w14:textId="77777777" w:rsidR="00EB038A" w:rsidRDefault="00EB038A">
            <w:pPr>
              <w:pStyle w:val="TableParagraph"/>
              <w:kinsoku w:val="0"/>
              <w:overflowPunct w:val="0"/>
              <w:spacing w:before="107"/>
              <w:ind w:left="547"/>
              <w:jc w:val="left"/>
              <w:rPr>
                <w:rFonts w:ascii="Times New Roman" w:hAnsi="Times New Roman" w:cs="Times New Roman"/>
              </w:rPr>
            </w:pPr>
            <w:r>
              <w:rPr>
                <w:sz w:val="18"/>
                <w:szCs w:val="18"/>
              </w:rPr>
              <w:t>Identical</w:t>
            </w:r>
          </w:p>
        </w:tc>
        <w:tc>
          <w:tcPr>
            <w:tcW w:w="1598" w:type="dxa"/>
            <w:tcBorders>
              <w:top w:val="single" w:sz="4" w:space="0" w:color="000000"/>
              <w:left w:val="none" w:sz="6" w:space="0" w:color="auto"/>
              <w:bottom w:val="double" w:sz="4" w:space="0" w:color="000000"/>
              <w:right w:val="single" w:sz="4" w:space="0" w:color="7F7F7F"/>
            </w:tcBorders>
          </w:tcPr>
          <w:p w14:paraId="454D59C9" w14:textId="77777777" w:rsidR="00EB038A" w:rsidRDefault="00EB038A">
            <w:pPr>
              <w:pStyle w:val="TableParagraph"/>
              <w:kinsoku w:val="0"/>
              <w:overflowPunct w:val="0"/>
              <w:spacing w:before="107"/>
              <w:ind w:left="452" w:right="472"/>
              <w:rPr>
                <w:rFonts w:ascii="Times New Roman" w:hAnsi="Times New Roman" w:cs="Times New Roman"/>
              </w:rPr>
            </w:pPr>
            <w:r>
              <w:rPr>
                <w:sz w:val="18"/>
                <w:szCs w:val="18"/>
              </w:rPr>
              <w:t>Identical</w:t>
            </w:r>
          </w:p>
        </w:tc>
        <w:tc>
          <w:tcPr>
            <w:tcW w:w="1260" w:type="dxa"/>
            <w:tcBorders>
              <w:top w:val="single" w:sz="4" w:space="0" w:color="000000"/>
              <w:left w:val="single" w:sz="4" w:space="0" w:color="7F7F7F"/>
              <w:bottom w:val="double" w:sz="4" w:space="0" w:color="000000"/>
              <w:right w:val="single" w:sz="4" w:space="0" w:color="000000"/>
            </w:tcBorders>
          </w:tcPr>
          <w:p w14:paraId="437A4BB0" w14:textId="77777777" w:rsidR="00EB038A" w:rsidRDefault="00EB038A">
            <w:pPr>
              <w:pStyle w:val="TableParagraph"/>
              <w:kinsoku w:val="0"/>
              <w:overflowPunct w:val="0"/>
              <w:spacing w:before="107"/>
              <w:ind w:left="501"/>
              <w:jc w:val="left"/>
              <w:rPr>
                <w:rFonts w:ascii="Times New Roman" w:hAnsi="Times New Roman" w:cs="Times New Roman"/>
              </w:rPr>
            </w:pPr>
            <w:r>
              <w:rPr>
                <w:sz w:val="18"/>
                <w:szCs w:val="18"/>
              </w:rPr>
              <w:t>Yes</w:t>
            </w:r>
          </w:p>
        </w:tc>
      </w:tr>
      <w:tr w:rsidR="00EB038A" w14:paraId="57C6169A" w14:textId="77777777">
        <w:trPr>
          <w:trHeight w:hRule="exact" w:val="461"/>
        </w:trPr>
        <w:tc>
          <w:tcPr>
            <w:tcW w:w="1435" w:type="dxa"/>
            <w:tcBorders>
              <w:top w:val="double" w:sz="4" w:space="0" w:color="000000"/>
              <w:left w:val="single" w:sz="4" w:space="0" w:color="000000"/>
              <w:bottom w:val="single" w:sz="4" w:space="0" w:color="000000"/>
              <w:right w:val="single" w:sz="4" w:space="0" w:color="000000"/>
            </w:tcBorders>
          </w:tcPr>
          <w:p w14:paraId="01811BC8" w14:textId="77777777" w:rsidR="00EB038A" w:rsidRDefault="00EB038A">
            <w:pPr>
              <w:pStyle w:val="TableParagraph"/>
              <w:kinsoku w:val="0"/>
              <w:overflowPunct w:val="0"/>
              <w:spacing w:before="112"/>
              <w:ind w:left="535" w:right="535"/>
              <w:rPr>
                <w:rFonts w:ascii="Times New Roman" w:hAnsi="Times New Roman" w:cs="Times New Roman"/>
              </w:rPr>
            </w:pPr>
            <w:r>
              <w:rPr>
                <w:sz w:val="18"/>
                <w:szCs w:val="18"/>
              </w:rPr>
              <w:t>UV1</w:t>
            </w:r>
          </w:p>
        </w:tc>
        <w:tc>
          <w:tcPr>
            <w:tcW w:w="2554" w:type="dxa"/>
            <w:tcBorders>
              <w:top w:val="double" w:sz="4" w:space="0" w:color="000000"/>
              <w:left w:val="single" w:sz="4" w:space="0" w:color="000000"/>
              <w:bottom w:val="single" w:sz="4" w:space="0" w:color="000000"/>
              <w:right w:val="none" w:sz="6" w:space="0" w:color="auto"/>
            </w:tcBorders>
          </w:tcPr>
          <w:p w14:paraId="51138B04" w14:textId="77777777" w:rsidR="00EB038A" w:rsidRDefault="00EB038A">
            <w:pPr>
              <w:pStyle w:val="TableParagraph"/>
              <w:kinsoku w:val="0"/>
              <w:overflowPunct w:val="0"/>
              <w:spacing w:before="112"/>
              <w:ind w:left="285" w:right="376"/>
              <w:rPr>
                <w:rFonts w:ascii="Times New Roman" w:hAnsi="Times New Roman" w:cs="Times New Roman"/>
              </w:rPr>
            </w:pPr>
            <w:r>
              <w:rPr>
                <w:sz w:val="18"/>
                <w:szCs w:val="18"/>
              </w:rPr>
              <w:t>0.88</w:t>
            </w:r>
          </w:p>
        </w:tc>
        <w:tc>
          <w:tcPr>
            <w:tcW w:w="1498" w:type="dxa"/>
            <w:tcBorders>
              <w:top w:val="double" w:sz="4" w:space="0" w:color="000000"/>
              <w:left w:val="none" w:sz="6" w:space="0" w:color="auto"/>
              <w:bottom w:val="single" w:sz="4" w:space="0" w:color="000000"/>
              <w:right w:val="single" w:sz="4" w:space="0" w:color="000000"/>
            </w:tcBorders>
          </w:tcPr>
          <w:p w14:paraId="75C8FD9B" w14:textId="77777777" w:rsidR="00EB038A" w:rsidRDefault="00EB038A">
            <w:pPr>
              <w:pStyle w:val="TableParagraph"/>
              <w:kinsoku w:val="0"/>
              <w:overflowPunct w:val="0"/>
              <w:spacing w:before="112"/>
              <w:ind w:left="590"/>
              <w:jc w:val="left"/>
              <w:rPr>
                <w:rFonts w:ascii="Times New Roman" w:hAnsi="Times New Roman" w:cs="Times New Roman"/>
              </w:rPr>
            </w:pPr>
            <w:r>
              <w:rPr>
                <w:sz w:val="18"/>
                <w:szCs w:val="18"/>
              </w:rPr>
              <w:t>2.0</w:t>
            </w:r>
          </w:p>
        </w:tc>
        <w:tc>
          <w:tcPr>
            <w:tcW w:w="1756" w:type="dxa"/>
            <w:tcBorders>
              <w:top w:val="double" w:sz="4" w:space="0" w:color="000000"/>
              <w:left w:val="single" w:sz="4" w:space="0" w:color="000000"/>
              <w:bottom w:val="single" w:sz="4" w:space="0" w:color="000000"/>
              <w:right w:val="none" w:sz="6" w:space="0" w:color="auto"/>
            </w:tcBorders>
          </w:tcPr>
          <w:p w14:paraId="3AB610DB" w14:textId="77777777" w:rsidR="00EB038A" w:rsidRDefault="00EB038A">
            <w:pPr>
              <w:pStyle w:val="TableParagraph"/>
              <w:kinsoku w:val="0"/>
              <w:overflowPunct w:val="0"/>
              <w:spacing w:before="1"/>
              <w:ind w:left="130" w:right="90" w:firstLine="489"/>
              <w:jc w:val="left"/>
              <w:rPr>
                <w:rFonts w:ascii="Times New Roman" w:hAnsi="Times New Roman" w:cs="Times New Roman"/>
              </w:rPr>
            </w:pPr>
            <w:r>
              <w:rPr>
                <w:sz w:val="18"/>
                <w:szCs w:val="18"/>
              </w:rPr>
              <w:t>Higher (default is 0.70 p.u.)</w:t>
            </w:r>
          </w:p>
        </w:tc>
        <w:tc>
          <w:tcPr>
            <w:tcW w:w="1598" w:type="dxa"/>
            <w:tcBorders>
              <w:top w:val="double" w:sz="4" w:space="0" w:color="000000"/>
              <w:left w:val="none" w:sz="6" w:space="0" w:color="auto"/>
              <w:bottom w:val="single" w:sz="4" w:space="0" w:color="000000"/>
              <w:right w:val="single" w:sz="4" w:space="0" w:color="7F7F7F"/>
            </w:tcBorders>
          </w:tcPr>
          <w:p w14:paraId="75B16A9C" w14:textId="77777777" w:rsidR="00EB038A" w:rsidRDefault="00EB038A">
            <w:pPr>
              <w:pStyle w:val="TableParagraph"/>
              <w:kinsoku w:val="0"/>
              <w:overflowPunct w:val="0"/>
              <w:spacing w:before="1"/>
              <w:ind w:left="227" w:right="229" w:firstLine="62"/>
              <w:jc w:val="left"/>
              <w:rPr>
                <w:rFonts w:ascii="Times New Roman" w:hAnsi="Times New Roman" w:cs="Times New Roman"/>
              </w:rPr>
            </w:pPr>
            <w:r>
              <w:rPr>
                <w:sz w:val="18"/>
                <w:szCs w:val="18"/>
              </w:rPr>
              <w:t>Much shorter (default is 10 s)</w:t>
            </w:r>
          </w:p>
        </w:tc>
        <w:tc>
          <w:tcPr>
            <w:tcW w:w="1260" w:type="dxa"/>
            <w:tcBorders>
              <w:top w:val="double" w:sz="4" w:space="0" w:color="000000"/>
              <w:left w:val="single" w:sz="4" w:space="0" w:color="7F7F7F"/>
              <w:bottom w:val="single" w:sz="4" w:space="0" w:color="000000"/>
              <w:right w:val="single" w:sz="4" w:space="0" w:color="000000"/>
            </w:tcBorders>
          </w:tcPr>
          <w:p w14:paraId="3253E6B2" w14:textId="77777777" w:rsidR="00EB038A" w:rsidRDefault="00EB038A">
            <w:pPr>
              <w:pStyle w:val="TableParagraph"/>
              <w:kinsoku w:val="0"/>
              <w:overflowPunct w:val="0"/>
              <w:spacing w:before="112"/>
              <w:ind w:left="501"/>
              <w:jc w:val="left"/>
              <w:rPr>
                <w:rFonts w:ascii="Times New Roman" w:hAnsi="Times New Roman" w:cs="Times New Roman"/>
              </w:rPr>
            </w:pPr>
            <w:r>
              <w:rPr>
                <w:sz w:val="18"/>
                <w:szCs w:val="18"/>
              </w:rPr>
              <w:t>Yes</w:t>
            </w:r>
          </w:p>
        </w:tc>
      </w:tr>
      <w:tr w:rsidR="00EB038A" w14:paraId="4CBA94D6" w14:textId="77777777">
        <w:trPr>
          <w:trHeight w:hRule="exact" w:val="452"/>
        </w:trPr>
        <w:tc>
          <w:tcPr>
            <w:tcW w:w="1435" w:type="dxa"/>
            <w:tcBorders>
              <w:top w:val="single" w:sz="4" w:space="0" w:color="000000"/>
              <w:left w:val="single" w:sz="4" w:space="0" w:color="000000"/>
              <w:bottom w:val="single" w:sz="4" w:space="0" w:color="000000"/>
              <w:right w:val="single" w:sz="4" w:space="0" w:color="000000"/>
            </w:tcBorders>
          </w:tcPr>
          <w:p w14:paraId="655DE6E9" w14:textId="77777777" w:rsidR="00EB038A" w:rsidRDefault="00EB038A">
            <w:pPr>
              <w:pStyle w:val="TableParagraph"/>
              <w:kinsoku w:val="0"/>
              <w:overflowPunct w:val="0"/>
              <w:spacing w:before="110"/>
              <w:ind w:left="535" w:right="535"/>
              <w:rPr>
                <w:rFonts w:ascii="Times New Roman" w:hAnsi="Times New Roman" w:cs="Times New Roman"/>
              </w:rPr>
            </w:pPr>
            <w:r>
              <w:rPr>
                <w:sz w:val="18"/>
                <w:szCs w:val="18"/>
              </w:rPr>
              <w:t>UV2</w:t>
            </w:r>
          </w:p>
        </w:tc>
        <w:tc>
          <w:tcPr>
            <w:tcW w:w="2554" w:type="dxa"/>
            <w:tcBorders>
              <w:top w:val="single" w:sz="4" w:space="0" w:color="000000"/>
              <w:left w:val="single" w:sz="4" w:space="0" w:color="000000"/>
              <w:bottom w:val="single" w:sz="4" w:space="0" w:color="000000"/>
              <w:right w:val="none" w:sz="6" w:space="0" w:color="auto"/>
            </w:tcBorders>
          </w:tcPr>
          <w:p w14:paraId="5E707819" w14:textId="77777777" w:rsidR="00EB038A" w:rsidRDefault="00EB038A">
            <w:pPr>
              <w:pStyle w:val="TableParagraph"/>
              <w:kinsoku w:val="0"/>
              <w:overflowPunct w:val="0"/>
              <w:spacing w:before="110"/>
              <w:ind w:left="285" w:right="376"/>
              <w:rPr>
                <w:rFonts w:ascii="Times New Roman" w:hAnsi="Times New Roman" w:cs="Times New Roman"/>
              </w:rPr>
            </w:pPr>
            <w:r>
              <w:rPr>
                <w:sz w:val="18"/>
                <w:szCs w:val="18"/>
              </w:rPr>
              <w:t>0.50</w:t>
            </w:r>
          </w:p>
        </w:tc>
        <w:tc>
          <w:tcPr>
            <w:tcW w:w="1498" w:type="dxa"/>
            <w:tcBorders>
              <w:top w:val="single" w:sz="4" w:space="0" w:color="000000"/>
              <w:left w:val="none" w:sz="6" w:space="0" w:color="auto"/>
              <w:bottom w:val="single" w:sz="4" w:space="0" w:color="000000"/>
              <w:right w:val="single" w:sz="4" w:space="0" w:color="000000"/>
            </w:tcBorders>
          </w:tcPr>
          <w:p w14:paraId="1BBC2FCD" w14:textId="77777777" w:rsidR="00EB038A" w:rsidRDefault="00EB038A">
            <w:pPr>
              <w:pStyle w:val="TableParagraph"/>
              <w:kinsoku w:val="0"/>
              <w:overflowPunct w:val="0"/>
              <w:spacing w:before="110"/>
              <w:ind w:left="590"/>
              <w:jc w:val="left"/>
              <w:rPr>
                <w:rFonts w:ascii="Times New Roman" w:hAnsi="Times New Roman" w:cs="Times New Roman"/>
              </w:rPr>
            </w:pPr>
            <w:r>
              <w:rPr>
                <w:sz w:val="18"/>
                <w:szCs w:val="18"/>
              </w:rPr>
              <w:t>1.1</w:t>
            </w:r>
          </w:p>
        </w:tc>
        <w:tc>
          <w:tcPr>
            <w:tcW w:w="1756" w:type="dxa"/>
            <w:tcBorders>
              <w:top w:val="single" w:sz="4" w:space="0" w:color="000000"/>
              <w:left w:val="single" w:sz="4" w:space="0" w:color="000000"/>
              <w:bottom w:val="single" w:sz="4" w:space="0" w:color="000000"/>
              <w:right w:val="none" w:sz="6" w:space="0" w:color="auto"/>
            </w:tcBorders>
          </w:tcPr>
          <w:p w14:paraId="1D828159" w14:textId="77777777" w:rsidR="00EB038A" w:rsidRDefault="00EB038A">
            <w:pPr>
              <w:pStyle w:val="TableParagraph"/>
              <w:kinsoku w:val="0"/>
              <w:overflowPunct w:val="0"/>
              <w:ind w:left="130" w:firstLine="213"/>
              <w:jc w:val="left"/>
              <w:rPr>
                <w:rFonts w:ascii="Times New Roman" w:hAnsi="Times New Roman" w:cs="Times New Roman"/>
              </w:rPr>
            </w:pPr>
            <w:r>
              <w:rPr>
                <w:sz w:val="18"/>
                <w:szCs w:val="18"/>
              </w:rPr>
              <w:t>Slightly higher (default is 0.45 p.u.)</w:t>
            </w:r>
          </w:p>
        </w:tc>
        <w:tc>
          <w:tcPr>
            <w:tcW w:w="1598" w:type="dxa"/>
            <w:tcBorders>
              <w:top w:val="single" w:sz="4" w:space="0" w:color="000000"/>
              <w:left w:val="none" w:sz="6" w:space="0" w:color="auto"/>
              <w:bottom w:val="single" w:sz="4" w:space="0" w:color="000000"/>
              <w:right w:val="single" w:sz="4" w:space="0" w:color="7F7F7F"/>
            </w:tcBorders>
          </w:tcPr>
          <w:p w14:paraId="32A8FDD0" w14:textId="77777777" w:rsidR="00EB038A" w:rsidRDefault="00EB038A">
            <w:pPr>
              <w:pStyle w:val="TableParagraph"/>
              <w:kinsoku w:val="0"/>
              <w:overflowPunct w:val="0"/>
              <w:ind w:left="160" w:right="159" w:firstLine="163"/>
              <w:jc w:val="left"/>
              <w:rPr>
                <w:rFonts w:ascii="Times New Roman" w:hAnsi="Times New Roman" w:cs="Times New Roman"/>
              </w:rPr>
            </w:pPr>
            <w:r>
              <w:rPr>
                <w:sz w:val="18"/>
                <w:szCs w:val="18"/>
              </w:rPr>
              <w:t>Much longer (default is 0.16 s)</w:t>
            </w:r>
          </w:p>
        </w:tc>
        <w:tc>
          <w:tcPr>
            <w:tcW w:w="1260" w:type="dxa"/>
            <w:tcBorders>
              <w:top w:val="single" w:sz="4" w:space="0" w:color="000000"/>
              <w:left w:val="single" w:sz="4" w:space="0" w:color="7F7F7F"/>
              <w:bottom w:val="single" w:sz="4" w:space="0" w:color="000000"/>
              <w:right w:val="single" w:sz="4" w:space="0" w:color="000000"/>
            </w:tcBorders>
          </w:tcPr>
          <w:p w14:paraId="181DDD2C" w14:textId="77777777" w:rsidR="00EB038A" w:rsidRDefault="00EB038A">
            <w:pPr>
              <w:pStyle w:val="TableParagraph"/>
              <w:kinsoku w:val="0"/>
              <w:overflowPunct w:val="0"/>
              <w:spacing w:before="110"/>
              <w:ind w:left="501"/>
              <w:jc w:val="left"/>
              <w:rPr>
                <w:rFonts w:ascii="Times New Roman" w:hAnsi="Times New Roman" w:cs="Times New Roman"/>
              </w:rPr>
            </w:pPr>
            <w:r>
              <w:rPr>
                <w:sz w:val="18"/>
                <w:szCs w:val="18"/>
              </w:rPr>
              <w:t>Yes</w:t>
            </w:r>
          </w:p>
        </w:tc>
      </w:tr>
    </w:tbl>
    <w:p w14:paraId="2CECA3E5" w14:textId="77777777" w:rsidR="00EB038A" w:rsidRDefault="00EB038A" w:rsidP="00EB038A">
      <w:pPr>
        <w:pStyle w:val="BodyText"/>
        <w:kinsoku w:val="0"/>
        <w:overflowPunct w:val="0"/>
        <w:spacing w:line="20" w:lineRule="exact"/>
        <w:ind w:left="8946"/>
        <w:rPr>
          <w:sz w:val="2"/>
          <w:szCs w:val="2"/>
        </w:rPr>
      </w:pPr>
      <w:r>
        <w:rPr>
          <w:noProof/>
          <w:sz w:val="2"/>
          <w:szCs w:val="2"/>
        </w:rPr>
        <w:drawing>
          <wp:inline distT="0" distB="0" distL="0" distR="0" wp14:anchorId="3906A58C" wp14:editId="4F09B510">
            <wp:extent cx="6350" cy="63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50" cy="6350"/>
                    </a:xfrm>
                    <a:prstGeom prst="rect">
                      <a:avLst/>
                    </a:prstGeom>
                    <a:noFill/>
                    <a:ln>
                      <a:noFill/>
                    </a:ln>
                  </pic:spPr>
                </pic:pic>
              </a:graphicData>
            </a:graphic>
          </wp:inline>
        </w:drawing>
      </w:r>
    </w:p>
    <w:p w14:paraId="0D584CFB" w14:textId="77777777" w:rsidR="00EB038A" w:rsidRDefault="00EB038A" w:rsidP="003762B7">
      <w:pPr>
        <w:pStyle w:val="BodyText"/>
        <w:kinsoku w:val="0"/>
        <w:overflowPunct w:val="0"/>
        <w:rPr>
          <w:rFonts w:ascii="Times New Roman" w:hAnsi="Times New Roman" w:cs="Times New Roman"/>
          <w:sz w:val="20"/>
          <w:szCs w:val="20"/>
        </w:rPr>
      </w:pPr>
    </w:p>
    <w:p w14:paraId="0F8DE2EC" w14:textId="77777777" w:rsidR="00942464" w:rsidRDefault="00942464" w:rsidP="00EB038A">
      <w:pPr>
        <w:pStyle w:val="BodyText"/>
        <w:kinsoku w:val="0"/>
        <w:overflowPunct w:val="0"/>
        <w:ind w:left="1362" w:right="1376"/>
        <w:jc w:val="center"/>
        <w:rPr>
          <w:b/>
          <w:bCs/>
          <w:sz w:val="22"/>
          <w:szCs w:val="22"/>
        </w:rPr>
      </w:pPr>
    </w:p>
    <w:p w14:paraId="514731E1" w14:textId="77777777" w:rsidR="00942464" w:rsidRDefault="00942464" w:rsidP="00EB038A">
      <w:pPr>
        <w:pStyle w:val="BodyText"/>
        <w:kinsoku w:val="0"/>
        <w:overflowPunct w:val="0"/>
        <w:ind w:left="1362" w:right="1376"/>
        <w:jc w:val="center"/>
        <w:rPr>
          <w:b/>
          <w:bCs/>
          <w:sz w:val="22"/>
          <w:szCs w:val="22"/>
        </w:rPr>
      </w:pPr>
    </w:p>
    <w:p w14:paraId="33515CC8" w14:textId="77777777" w:rsidR="00942464" w:rsidRDefault="00942464" w:rsidP="00EB038A">
      <w:pPr>
        <w:pStyle w:val="BodyText"/>
        <w:kinsoku w:val="0"/>
        <w:overflowPunct w:val="0"/>
        <w:ind w:left="1362" w:right="1376"/>
        <w:jc w:val="center"/>
        <w:rPr>
          <w:b/>
          <w:bCs/>
          <w:sz w:val="22"/>
          <w:szCs w:val="22"/>
        </w:rPr>
      </w:pPr>
    </w:p>
    <w:p w14:paraId="5361288A" w14:textId="77777777" w:rsidR="00942464" w:rsidRDefault="00942464" w:rsidP="00EB038A">
      <w:pPr>
        <w:pStyle w:val="BodyText"/>
        <w:kinsoku w:val="0"/>
        <w:overflowPunct w:val="0"/>
        <w:ind w:left="1362" w:right="1376"/>
        <w:jc w:val="center"/>
        <w:rPr>
          <w:b/>
          <w:bCs/>
          <w:sz w:val="22"/>
          <w:szCs w:val="22"/>
        </w:rPr>
      </w:pPr>
    </w:p>
    <w:p w14:paraId="515D25B3" w14:textId="77777777" w:rsidR="00942464" w:rsidRDefault="00942464" w:rsidP="00EB038A">
      <w:pPr>
        <w:pStyle w:val="BodyText"/>
        <w:kinsoku w:val="0"/>
        <w:overflowPunct w:val="0"/>
        <w:ind w:left="1362" w:right="1376"/>
        <w:jc w:val="center"/>
        <w:rPr>
          <w:b/>
          <w:bCs/>
          <w:sz w:val="22"/>
          <w:szCs w:val="22"/>
        </w:rPr>
      </w:pPr>
    </w:p>
    <w:p w14:paraId="7D7C2F9F" w14:textId="77777777" w:rsidR="00942464" w:rsidRDefault="00942464" w:rsidP="00EB038A">
      <w:pPr>
        <w:pStyle w:val="BodyText"/>
        <w:kinsoku w:val="0"/>
        <w:overflowPunct w:val="0"/>
        <w:ind w:left="1362" w:right="1376"/>
        <w:jc w:val="center"/>
        <w:rPr>
          <w:b/>
          <w:bCs/>
          <w:sz w:val="22"/>
          <w:szCs w:val="22"/>
        </w:rPr>
      </w:pPr>
    </w:p>
    <w:p w14:paraId="203BE0AC" w14:textId="77777777" w:rsidR="00EB038A" w:rsidRDefault="00EB038A" w:rsidP="00EB038A">
      <w:pPr>
        <w:pStyle w:val="BodyText"/>
        <w:kinsoku w:val="0"/>
        <w:overflowPunct w:val="0"/>
        <w:ind w:left="1362" w:right="1376"/>
        <w:jc w:val="center"/>
        <w:rPr>
          <w:b/>
          <w:bCs/>
          <w:sz w:val="22"/>
          <w:szCs w:val="22"/>
        </w:rPr>
      </w:pPr>
      <w:r>
        <w:rPr>
          <w:b/>
          <w:bCs/>
          <w:sz w:val="22"/>
          <w:szCs w:val="22"/>
        </w:rPr>
        <w:t>Table II: Inverters’ Frequency Trip Settings</w:t>
      </w:r>
    </w:p>
    <w:p w14:paraId="3426EE57" w14:textId="77777777" w:rsidR="00EB038A" w:rsidRDefault="00EB038A" w:rsidP="00EB038A">
      <w:pPr>
        <w:pStyle w:val="BodyText"/>
        <w:kinsoku w:val="0"/>
        <w:overflowPunct w:val="0"/>
        <w:spacing w:before="3"/>
        <w:rPr>
          <w:b/>
          <w:bCs/>
          <w:sz w:val="8"/>
          <w:szCs w:val="8"/>
        </w:rPr>
      </w:pPr>
    </w:p>
    <w:tbl>
      <w:tblPr>
        <w:tblW w:w="0" w:type="auto"/>
        <w:tblInd w:w="101" w:type="dxa"/>
        <w:tblLayout w:type="fixed"/>
        <w:tblCellMar>
          <w:left w:w="0" w:type="dxa"/>
          <w:right w:w="0" w:type="dxa"/>
        </w:tblCellMar>
        <w:tblLook w:val="0000" w:firstRow="0" w:lastRow="0" w:firstColumn="0" w:lastColumn="0" w:noHBand="0" w:noVBand="0"/>
      </w:tblPr>
      <w:tblGrid>
        <w:gridCol w:w="1166"/>
        <w:gridCol w:w="2070"/>
        <w:gridCol w:w="2160"/>
        <w:gridCol w:w="1733"/>
        <w:gridCol w:w="1441"/>
        <w:gridCol w:w="1531"/>
      </w:tblGrid>
      <w:tr w:rsidR="00EB038A" w14:paraId="400AB3AC" w14:textId="77777777">
        <w:trPr>
          <w:trHeight w:hRule="exact" w:val="670"/>
        </w:trPr>
        <w:tc>
          <w:tcPr>
            <w:tcW w:w="1166" w:type="dxa"/>
            <w:vMerge w:val="restart"/>
            <w:tcBorders>
              <w:top w:val="single" w:sz="4" w:space="0" w:color="000000"/>
              <w:left w:val="single" w:sz="4" w:space="0" w:color="000000"/>
              <w:bottom w:val="single" w:sz="4" w:space="0" w:color="000000"/>
              <w:right w:val="single" w:sz="4" w:space="0" w:color="000000"/>
            </w:tcBorders>
            <w:shd w:val="clear" w:color="auto" w:fill="BEBEBE"/>
          </w:tcPr>
          <w:p w14:paraId="549260DD" w14:textId="77777777" w:rsidR="00EB038A" w:rsidRDefault="00EB038A">
            <w:pPr>
              <w:pStyle w:val="TableParagraph"/>
              <w:kinsoku w:val="0"/>
              <w:overflowPunct w:val="0"/>
              <w:jc w:val="left"/>
              <w:rPr>
                <w:b/>
                <w:bCs/>
                <w:sz w:val="18"/>
                <w:szCs w:val="18"/>
              </w:rPr>
            </w:pPr>
          </w:p>
          <w:p w14:paraId="0E9ACF49" w14:textId="77777777" w:rsidR="00EB038A" w:rsidRDefault="00EB038A">
            <w:pPr>
              <w:pStyle w:val="TableParagraph"/>
              <w:kinsoku w:val="0"/>
              <w:overflowPunct w:val="0"/>
              <w:spacing w:before="1"/>
              <w:ind w:left="252" w:right="214" w:hanging="23"/>
              <w:jc w:val="left"/>
              <w:rPr>
                <w:rFonts w:ascii="Times New Roman" w:hAnsi="Times New Roman" w:cs="Times New Roman"/>
              </w:rPr>
            </w:pPr>
            <w:r>
              <w:rPr>
                <w:b/>
                <w:bCs/>
                <w:sz w:val="18"/>
                <w:szCs w:val="18"/>
              </w:rPr>
              <w:t>Shall Trip Function</w:t>
            </w:r>
          </w:p>
        </w:tc>
        <w:tc>
          <w:tcPr>
            <w:tcW w:w="4230" w:type="dxa"/>
            <w:gridSpan w:val="2"/>
            <w:tcBorders>
              <w:top w:val="single" w:sz="4" w:space="0" w:color="000000"/>
              <w:left w:val="single" w:sz="4" w:space="0" w:color="000000"/>
              <w:bottom w:val="single" w:sz="4" w:space="0" w:color="000000"/>
              <w:right w:val="single" w:sz="4" w:space="0" w:color="000000"/>
            </w:tcBorders>
            <w:shd w:val="clear" w:color="auto" w:fill="BEBEBE"/>
          </w:tcPr>
          <w:p w14:paraId="640EE48E" w14:textId="77777777" w:rsidR="00EB038A" w:rsidRDefault="00EB038A">
            <w:pPr>
              <w:pStyle w:val="TableParagraph"/>
              <w:kinsoku w:val="0"/>
              <w:overflowPunct w:val="0"/>
              <w:jc w:val="left"/>
              <w:rPr>
                <w:b/>
                <w:bCs/>
                <w:sz w:val="18"/>
                <w:szCs w:val="18"/>
              </w:rPr>
            </w:pPr>
          </w:p>
          <w:p w14:paraId="2A630EE7" w14:textId="77777777" w:rsidR="00EB038A" w:rsidRDefault="00EB038A">
            <w:pPr>
              <w:pStyle w:val="TableParagraph"/>
              <w:kinsoku w:val="0"/>
              <w:overflowPunct w:val="0"/>
              <w:ind w:left="1429" w:right="1430"/>
              <w:rPr>
                <w:rFonts w:ascii="Times New Roman" w:hAnsi="Times New Roman" w:cs="Times New Roman"/>
              </w:rPr>
            </w:pPr>
            <w:r>
              <w:rPr>
                <w:b/>
                <w:bCs/>
                <w:sz w:val="18"/>
                <w:szCs w:val="18"/>
              </w:rPr>
              <w:t>Required Settings</w:t>
            </w:r>
          </w:p>
        </w:tc>
        <w:tc>
          <w:tcPr>
            <w:tcW w:w="4705" w:type="dxa"/>
            <w:gridSpan w:val="3"/>
            <w:tcBorders>
              <w:top w:val="single" w:sz="4" w:space="0" w:color="000000"/>
              <w:left w:val="single" w:sz="4" w:space="0" w:color="000000"/>
              <w:bottom w:val="single" w:sz="4" w:space="0" w:color="000000"/>
              <w:right w:val="single" w:sz="4" w:space="0" w:color="000000"/>
            </w:tcBorders>
            <w:shd w:val="clear" w:color="auto" w:fill="BEBEBE"/>
          </w:tcPr>
          <w:p w14:paraId="353F7C4D" w14:textId="77777777" w:rsidR="00EB038A" w:rsidRDefault="00EB038A">
            <w:pPr>
              <w:pStyle w:val="TableParagraph"/>
              <w:kinsoku w:val="0"/>
              <w:overflowPunct w:val="0"/>
              <w:spacing w:line="219" w:lineRule="exact"/>
              <w:ind w:left="742"/>
              <w:jc w:val="left"/>
              <w:rPr>
                <w:b/>
                <w:bCs/>
                <w:sz w:val="18"/>
                <w:szCs w:val="18"/>
              </w:rPr>
            </w:pPr>
            <w:r>
              <w:rPr>
                <w:b/>
                <w:bCs/>
                <w:sz w:val="18"/>
                <w:szCs w:val="18"/>
              </w:rPr>
              <w:t>Comparison to IEEE Std 1547-2018 (2</w:t>
            </w:r>
            <w:r>
              <w:rPr>
                <w:b/>
                <w:bCs/>
                <w:position w:val="9"/>
                <w:sz w:val="12"/>
                <w:szCs w:val="12"/>
              </w:rPr>
              <w:t xml:space="preserve">nd </w:t>
            </w:r>
            <w:r>
              <w:rPr>
                <w:b/>
                <w:bCs/>
                <w:sz w:val="18"/>
                <w:szCs w:val="18"/>
              </w:rPr>
              <w:t>ed.)</w:t>
            </w:r>
          </w:p>
          <w:p w14:paraId="5F905B48" w14:textId="77777777" w:rsidR="00EB038A" w:rsidRDefault="00EB038A">
            <w:pPr>
              <w:pStyle w:val="TableParagraph"/>
              <w:kinsoku w:val="0"/>
              <w:overflowPunct w:val="0"/>
              <w:spacing w:before="1"/>
              <w:ind w:left="890" w:right="394" w:hanging="480"/>
              <w:jc w:val="left"/>
              <w:rPr>
                <w:rFonts w:ascii="Times New Roman" w:hAnsi="Times New Roman" w:cs="Times New Roman"/>
              </w:rPr>
            </w:pPr>
            <w:r>
              <w:rPr>
                <w:b/>
                <w:bCs/>
                <w:sz w:val="18"/>
                <w:szCs w:val="18"/>
              </w:rPr>
              <w:t>default settings and ranges of allowable settings for Category I, Category II, and Category III</w:t>
            </w:r>
          </w:p>
        </w:tc>
      </w:tr>
      <w:tr w:rsidR="00EB038A" w14:paraId="4A24F028" w14:textId="77777777">
        <w:trPr>
          <w:trHeight w:hRule="exact" w:val="670"/>
        </w:trPr>
        <w:tc>
          <w:tcPr>
            <w:tcW w:w="1166" w:type="dxa"/>
            <w:vMerge/>
            <w:tcBorders>
              <w:top w:val="single" w:sz="4" w:space="0" w:color="000000"/>
              <w:left w:val="single" w:sz="4" w:space="0" w:color="000000"/>
              <w:bottom w:val="single" w:sz="4" w:space="0" w:color="000000"/>
              <w:right w:val="single" w:sz="4" w:space="0" w:color="000000"/>
            </w:tcBorders>
            <w:shd w:val="clear" w:color="auto" w:fill="BEBEBE"/>
          </w:tcPr>
          <w:p w14:paraId="759B9124" w14:textId="77777777" w:rsidR="00EB038A" w:rsidRDefault="00EB038A">
            <w:pPr>
              <w:pStyle w:val="TableParagraph"/>
              <w:kinsoku w:val="0"/>
              <w:overflowPunct w:val="0"/>
              <w:spacing w:before="1"/>
              <w:ind w:left="890" w:right="394" w:hanging="480"/>
              <w:jc w:val="left"/>
              <w:rPr>
                <w:rFonts w:ascii="Times New Roman" w:hAnsi="Times New Roman" w:cs="Times New Roman"/>
              </w:rPr>
            </w:pP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6C1C131A" w14:textId="77777777" w:rsidR="00EB038A" w:rsidRDefault="00EB038A">
            <w:pPr>
              <w:pStyle w:val="TableParagraph"/>
              <w:kinsoku w:val="0"/>
              <w:overflowPunct w:val="0"/>
              <w:spacing w:before="109"/>
              <w:ind w:left="880" w:right="621" w:hanging="240"/>
              <w:jc w:val="left"/>
              <w:rPr>
                <w:rFonts w:ascii="Times New Roman" w:hAnsi="Times New Roman" w:cs="Times New Roman"/>
              </w:rPr>
            </w:pPr>
            <w:r>
              <w:rPr>
                <w:b/>
                <w:bCs/>
                <w:sz w:val="18"/>
                <w:szCs w:val="18"/>
              </w:rPr>
              <w:t>Frequency (Hz)</w:t>
            </w:r>
          </w:p>
        </w:tc>
        <w:tc>
          <w:tcPr>
            <w:tcW w:w="2160" w:type="dxa"/>
            <w:tcBorders>
              <w:top w:val="single" w:sz="4" w:space="0" w:color="000000"/>
              <w:left w:val="single" w:sz="4" w:space="0" w:color="000000"/>
              <w:bottom w:val="single" w:sz="4" w:space="0" w:color="000000"/>
              <w:right w:val="single" w:sz="4" w:space="0" w:color="000000"/>
            </w:tcBorders>
            <w:shd w:val="clear" w:color="auto" w:fill="BEBEBE"/>
          </w:tcPr>
          <w:p w14:paraId="0C15C48F" w14:textId="77777777" w:rsidR="00EB038A" w:rsidRDefault="00EB038A">
            <w:pPr>
              <w:pStyle w:val="TableParagraph"/>
              <w:kinsoku w:val="0"/>
              <w:overflowPunct w:val="0"/>
              <w:spacing w:before="109"/>
              <w:ind w:left="770" w:right="770"/>
              <w:rPr>
                <w:rFonts w:ascii="Times New Roman" w:hAnsi="Times New Roman" w:cs="Times New Roman"/>
              </w:rPr>
            </w:pPr>
            <w:r>
              <w:rPr>
                <w:b/>
                <w:bCs/>
                <w:sz w:val="18"/>
                <w:szCs w:val="18"/>
              </w:rPr>
              <w:t>Clearing Time(s)</w:t>
            </w:r>
          </w:p>
        </w:tc>
        <w:tc>
          <w:tcPr>
            <w:tcW w:w="1733" w:type="dxa"/>
            <w:tcBorders>
              <w:top w:val="single" w:sz="4" w:space="0" w:color="000000"/>
              <w:left w:val="single" w:sz="4" w:space="0" w:color="000000"/>
              <w:bottom w:val="single" w:sz="4" w:space="0" w:color="000000"/>
              <w:right w:val="single" w:sz="4" w:space="0" w:color="000000"/>
            </w:tcBorders>
            <w:shd w:val="clear" w:color="auto" w:fill="BEBEBE"/>
          </w:tcPr>
          <w:p w14:paraId="3A225C05" w14:textId="77777777" w:rsidR="00EB038A" w:rsidRDefault="00EB038A">
            <w:pPr>
              <w:pStyle w:val="TableParagraph"/>
              <w:kinsoku w:val="0"/>
              <w:overflowPunct w:val="0"/>
              <w:jc w:val="left"/>
              <w:rPr>
                <w:b/>
                <w:bCs/>
                <w:sz w:val="18"/>
                <w:szCs w:val="18"/>
              </w:rPr>
            </w:pPr>
          </w:p>
          <w:p w14:paraId="5330FCE3" w14:textId="77777777" w:rsidR="00EB038A" w:rsidRDefault="00EB038A">
            <w:pPr>
              <w:pStyle w:val="TableParagraph"/>
              <w:kinsoku w:val="0"/>
              <w:overflowPunct w:val="0"/>
              <w:ind w:left="452" w:right="453"/>
              <w:rPr>
                <w:rFonts w:ascii="Times New Roman" w:hAnsi="Times New Roman" w:cs="Times New Roman"/>
              </w:rPr>
            </w:pPr>
            <w:r>
              <w:rPr>
                <w:b/>
                <w:bCs/>
                <w:sz w:val="18"/>
                <w:szCs w:val="18"/>
              </w:rPr>
              <w:t>Frequency</w:t>
            </w:r>
          </w:p>
        </w:tc>
        <w:tc>
          <w:tcPr>
            <w:tcW w:w="1441" w:type="dxa"/>
            <w:tcBorders>
              <w:top w:val="single" w:sz="4" w:space="0" w:color="000000"/>
              <w:left w:val="single" w:sz="4" w:space="0" w:color="000000"/>
              <w:bottom w:val="single" w:sz="4" w:space="0" w:color="000000"/>
              <w:right w:val="single" w:sz="4" w:space="0" w:color="000000"/>
            </w:tcBorders>
            <w:shd w:val="clear" w:color="auto" w:fill="BEBEBE"/>
          </w:tcPr>
          <w:p w14:paraId="19627ED6" w14:textId="77777777" w:rsidR="00EB038A" w:rsidRDefault="00EB038A">
            <w:pPr>
              <w:pStyle w:val="TableParagraph"/>
              <w:kinsoku w:val="0"/>
              <w:overflowPunct w:val="0"/>
              <w:spacing w:before="109"/>
              <w:ind w:left="436" w:right="392" w:hanging="27"/>
              <w:jc w:val="left"/>
              <w:rPr>
                <w:rFonts w:ascii="Times New Roman" w:hAnsi="Times New Roman" w:cs="Times New Roman"/>
              </w:rPr>
            </w:pPr>
            <w:r>
              <w:rPr>
                <w:b/>
                <w:bCs/>
                <w:sz w:val="18"/>
                <w:szCs w:val="18"/>
              </w:rPr>
              <w:t>Clearing Time(s)</w:t>
            </w:r>
          </w:p>
        </w:tc>
        <w:tc>
          <w:tcPr>
            <w:tcW w:w="1531" w:type="dxa"/>
            <w:tcBorders>
              <w:top w:val="single" w:sz="4" w:space="0" w:color="000000"/>
              <w:left w:val="single" w:sz="4" w:space="0" w:color="000000"/>
              <w:bottom w:val="single" w:sz="4" w:space="0" w:color="000000"/>
              <w:right w:val="single" w:sz="4" w:space="0" w:color="000000"/>
            </w:tcBorders>
            <w:shd w:val="clear" w:color="auto" w:fill="BEBEBE"/>
          </w:tcPr>
          <w:p w14:paraId="72A8A092" w14:textId="77777777" w:rsidR="00EB038A" w:rsidRDefault="00EB038A">
            <w:pPr>
              <w:pStyle w:val="TableParagraph"/>
              <w:kinsoku w:val="0"/>
              <w:overflowPunct w:val="0"/>
              <w:ind w:left="139" w:right="143"/>
              <w:rPr>
                <w:rFonts w:ascii="Times New Roman" w:hAnsi="Times New Roman" w:cs="Times New Roman"/>
              </w:rPr>
            </w:pPr>
            <w:r>
              <w:rPr>
                <w:b/>
                <w:bCs/>
                <w:sz w:val="18"/>
                <w:szCs w:val="18"/>
              </w:rPr>
              <w:t>Within ranges of allowable settings?</w:t>
            </w:r>
          </w:p>
        </w:tc>
      </w:tr>
      <w:tr w:rsidR="00EB038A" w14:paraId="087A272F" w14:textId="77777777">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061E16C3" w14:textId="77777777" w:rsidR="00EB038A" w:rsidRDefault="00EB038A">
            <w:pPr>
              <w:pStyle w:val="TableParagraph"/>
              <w:kinsoku w:val="0"/>
              <w:overflowPunct w:val="0"/>
              <w:spacing w:line="219" w:lineRule="exact"/>
              <w:ind w:left="411" w:right="413"/>
              <w:rPr>
                <w:rFonts w:ascii="Times New Roman" w:hAnsi="Times New Roman" w:cs="Times New Roman"/>
              </w:rPr>
            </w:pPr>
            <w:r>
              <w:rPr>
                <w:sz w:val="18"/>
                <w:szCs w:val="18"/>
              </w:rPr>
              <w:t>OF2</w:t>
            </w:r>
          </w:p>
        </w:tc>
        <w:tc>
          <w:tcPr>
            <w:tcW w:w="2070" w:type="dxa"/>
            <w:tcBorders>
              <w:top w:val="single" w:sz="4" w:space="0" w:color="000000"/>
              <w:left w:val="single" w:sz="4" w:space="0" w:color="000000"/>
              <w:bottom w:val="single" w:sz="4" w:space="0" w:color="000000"/>
              <w:right w:val="none" w:sz="6" w:space="0" w:color="auto"/>
            </w:tcBorders>
          </w:tcPr>
          <w:p w14:paraId="4B5BDD5A" w14:textId="77777777" w:rsidR="00EB038A" w:rsidRDefault="00EB038A">
            <w:pPr>
              <w:pStyle w:val="TableParagraph"/>
              <w:kinsoku w:val="0"/>
              <w:overflowPunct w:val="0"/>
              <w:spacing w:line="219" w:lineRule="exact"/>
              <w:ind w:left="850" w:right="855"/>
              <w:rPr>
                <w:rFonts w:ascii="Times New Roman" w:hAnsi="Times New Roman" w:cs="Times New Roman"/>
              </w:rPr>
            </w:pPr>
            <w:r>
              <w:rPr>
                <w:sz w:val="18"/>
                <w:szCs w:val="18"/>
              </w:rPr>
              <w:t>62.0</w:t>
            </w:r>
          </w:p>
        </w:tc>
        <w:tc>
          <w:tcPr>
            <w:tcW w:w="2160" w:type="dxa"/>
            <w:tcBorders>
              <w:top w:val="single" w:sz="4" w:space="0" w:color="000000"/>
              <w:left w:val="none" w:sz="6" w:space="0" w:color="auto"/>
              <w:bottom w:val="single" w:sz="4" w:space="0" w:color="000000"/>
              <w:right w:val="single" w:sz="4" w:space="0" w:color="000000"/>
            </w:tcBorders>
          </w:tcPr>
          <w:p w14:paraId="1E47AD79" w14:textId="77777777" w:rsidR="00EB038A" w:rsidRDefault="00EB038A">
            <w:pPr>
              <w:pStyle w:val="TableParagraph"/>
              <w:kinsoku w:val="0"/>
              <w:overflowPunct w:val="0"/>
              <w:spacing w:line="219" w:lineRule="exact"/>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3ED6C463" w14:textId="77777777" w:rsidR="00EB038A" w:rsidRDefault="00EB038A">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5038E41A" w14:textId="77777777" w:rsidR="00EB038A" w:rsidRDefault="00EB038A">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3193A6FE" w14:textId="77777777" w:rsidR="00EB038A" w:rsidRDefault="00EB038A">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EB038A" w14:paraId="32F1122A" w14:textId="77777777">
        <w:trPr>
          <w:trHeight w:hRule="exact" w:val="238"/>
        </w:trPr>
        <w:tc>
          <w:tcPr>
            <w:tcW w:w="1166" w:type="dxa"/>
            <w:tcBorders>
              <w:top w:val="single" w:sz="4" w:space="0" w:color="000000"/>
              <w:left w:val="single" w:sz="4" w:space="0" w:color="000000"/>
              <w:bottom w:val="double" w:sz="4" w:space="0" w:color="000000"/>
              <w:right w:val="single" w:sz="4" w:space="0" w:color="000000"/>
            </w:tcBorders>
          </w:tcPr>
          <w:p w14:paraId="513DDF6F" w14:textId="77777777" w:rsidR="00EB038A" w:rsidRDefault="00EB038A">
            <w:pPr>
              <w:pStyle w:val="TableParagraph"/>
              <w:kinsoku w:val="0"/>
              <w:overflowPunct w:val="0"/>
              <w:spacing w:line="219" w:lineRule="exact"/>
              <w:ind w:left="411" w:right="413"/>
              <w:rPr>
                <w:rFonts w:ascii="Times New Roman" w:hAnsi="Times New Roman" w:cs="Times New Roman"/>
              </w:rPr>
            </w:pPr>
            <w:r>
              <w:rPr>
                <w:sz w:val="18"/>
                <w:szCs w:val="18"/>
              </w:rPr>
              <w:t>OF1</w:t>
            </w:r>
          </w:p>
        </w:tc>
        <w:tc>
          <w:tcPr>
            <w:tcW w:w="2070" w:type="dxa"/>
            <w:tcBorders>
              <w:top w:val="single" w:sz="4" w:space="0" w:color="000000"/>
              <w:left w:val="single" w:sz="4" w:space="0" w:color="000000"/>
              <w:bottom w:val="double" w:sz="4" w:space="0" w:color="000000"/>
              <w:right w:val="none" w:sz="6" w:space="0" w:color="auto"/>
            </w:tcBorders>
          </w:tcPr>
          <w:p w14:paraId="4DB1895A" w14:textId="77777777" w:rsidR="00EB038A" w:rsidRDefault="00EB038A">
            <w:pPr>
              <w:pStyle w:val="TableParagraph"/>
              <w:kinsoku w:val="0"/>
              <w:overflowPunct w:val="0"/>
              <w:spacing w:line="219" w:lineRule="exact"/>
              <w:ind w:left="850" w:right="855"/>
              <w:rPr>
                <w:rFonts w:ascii="Times New Roman" w:hAnsi="Times New Roman" w:cs="Times New Roman"/>
              </w:rPr>
            </w:pPr>
            <w:r>
              <w:rPr>
                <w:sz w:val="18"/>
                <w:szCs w:val="18"/>
              </w:rPr>
              <w:t>61.2</w:t>
            </w:r>
          </w:p>
        </w:tc>
        <w:tc>
          <w:tcPr>
            <w:tcW w:w="2160" w:type="dxa"/>
            <w:tcBorders>
              <w:top w:val="single" w:sz="4" w:space="0" w:color="000000"/>
              <w:left w:val="none" w:sz="6" w:space="0" w:color="auto"/>
              <w:bottom w:val="double" w:sz="4" w:space="0" w:color="000000"/>
              <w:right w:val="single" w:sz="4" w:space="0" w:color="000000"/>
            </w:tcBorders>
          </w:tcPr>
          <w:p w14:paraId="2EEF2E58" w14:textId="77777777" w:rsidR="00EB038A" w:rsidRDefault="00EB038A">
            <w:pPr>
              <w:pStyle w:val="TableParagraph"/>
              <w:kinsoku w:val="0"/>
              <w:overflowPunct w:val="0"/>
              <w:spacing w:line="219" w:lineRule="exact"/>
              <w:ind w:left="873"/>
              <w:jc w:val="left"/>
              <w:rPr>
                <w:rFonts w:ascii="Times New Roman" w:hAnsi="Times New Roman" w:cs="Times New Roman"/>
              </w:rPr>
            </w:pPr>
            <w:r>
              <w:rPr>
                <w:sz w:val="18"/>
                <w:szCs w:val="18"/>
              </w:rPr>
              <w:t>300.0</w:t>
            </w:r>
          </w:p>
        </w:tc>
        <w:tc>
          <w:tcPr>
            <w:tcW w:w="1733" w:type="dxa"/>
            <w:tcBorders>
              <w:top w:val="single" w:sz="4" w:space="0" w:color="000000"/>
              <w:left w:val="single" w:sz="4" w:space="0" w:color="000000"/>
              <w:bottom w:val="double" w:sz="4" w:space="0" w:color="000000"/>
              <w:right w:val="none" w:sz="6" w:space="0" w:color="auto"/>
            </w:tcBorders>
          </w:tcPr>
          <w:p w14:paraId="28D1A7FB" w14:textId="77777777" w:rsidR="00EB038A" w:rsidRDefault="00EB038A">
            <w:pPr>
              <w:pStyle w:val="TableParagraph"/>
              <w:kinsoku w:val="0"/>
              <w:overflowPunct w:val="0"/>
              <w:spacing w:line="219" w:lineRule="exact"/>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double" w:sz="4" w:space="0" w:color="000000"/>
              <w:right w:val="single" w:sz="4" w:space="0" w:color="000000"/>
            </w:tcBorders>
          </w:tcPr>
          <w:p w14:paraId="0E262300" w14:textId="77777777" w:rsidR="00EB038A" w:rsidRDefault="00EB038A">
            <w:pPr>
              <w:pStyle w:val="TableParagraph"/>
              <w:kinsoku w:val="0"/>
              <w:overflowPunct w:val="0"/>
              <w:spacing w:line="219" w:lineRule="exact"/>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double" w:sz="4" w:space="0" w:color="000000"/>
              <w:right w:val="single" w:sz="4" w:space="0" w:color="000000"/>
            </w:tcBorders>
          </w:tcPr>
          <w:p w14:paraId="6819702B" w14:textId="77777777" w:rsidR="00EB038A" w:rsidRDefault="00EB038A">
            <w:pPr>
              <w:pStyle w:val="TableParagraph"/>
              <w:kinsoku w:val="0"/>
              <w:overflowPunct w:val="0"/>
              <w:spacing w:line="219" w:lineRule="exact"/>
              <w:ind w:left="139" w:right="140"/>
              <w:rPr>
                <w:rFonts w:ascii="Times New Roman" w:hAnsi="Times New Roman" w:cs="Times New Roman"/>
              </w:rPr>
            </w:pPr>
            <w:r>
              <w:rPr>
                <w:sz w:val="18"/>
                <w:szCs w:val="18"/>
              </w:rPr>
              <w:t>Yes</w:t>
            </w:r>
          </w:p>
        </w:tc>
      </w:tr>
      <w:tr w:rsidR="00EB038A" w14:paraId="5DDBE3C9" w14:textId="77777777">
        <w:trPr>
          <w:trHeight w:hRule="exact" w:val="240"/>
        </w:trPr>
        <w:tc>
          <w:tcPr>
            <w:tcW w:w="1166" w:type="dxa"/>
            <w:tcBorders>
              <w:top w:val="double" w:sz="4" w:space="0" w:color="000000"/>
              <w:left w:val="single" w:sz="4" w:space="0" w:color="000000"/>
              <w:bottom w:val="single" w:sz="4" w:space="0" w:color="000000"/>
              <w:right w:val="single" w:sz="4" w:space="0" w:color="000000"/>
            </w:tcBorders>
          </w:tcPr>
          <w:p w14:paraId="6552A85A" w14:textId="77777777" w:rsidR="00EB038A" w:rsidRDefault="00EB038A">
            <w:pPr>
              <w:pStyle w:val="TableParagraph"/>
              <w:kinsoku w:val="0"/>
              <w:overflowPunct w:val="0"/>
              <w:spacing w:before="1"/>
              <w:ind w:left="411" w:right="413"/>
              <w:rPr>
                <w:rFonts w:ascii="Times New Roman" w:hAnsi="Times New Roman" w:cs="Times New Roman"/>
              </w:rPr>
            </w:pPr>
            <w:r>
              <w:rPr>
                <w:sz w:val="18"/>
                <w:szCs w:val="18"/>
              </w:rPr>
              <w:t>UF1</w:t>
            </w:r>
          </w:p>
        </w:tc>
        <w:tc>
          <w:tcPr>
            <w:tcW w:w="2070" w:type="dxa"/>
            <w:tcBorders>
              <w:top w:val="double" w:sz="4" w:space="0" w:color="000000"/>
              <w:left w:val="single" w:sz="4" w:space="0" w:color="000000"/>
              <w:bottom w:val="single" w:sz="4" w:space="0" w:color="000000"/>
              <w:right w:val="none" w:sz="6" w:space="0" w:color="auto"/>
            </w:tcBorders>
          </w:tcPr>
          <w:p w14:paraId="2F116F65" w14:textId="77777777" w:rsidR="00EB038A" w:rsidRDefault="00EB038A">
            <w:pPr>
              <w:pStyle w:val="TableParagraph"/>
              <w:kinsoku w:val="0"/>
              <w:overflowPunct w:val="0"/>
              <w:spacing w:before="1"/>
              <w:ind w:left="850" w:right="855"/>
              <w:rPr>
                <w:rFonts w:ascii="Times New Roman" w:hAnsi="Times New Roman" w:cs="Times New Roman"/>
              </w:rPr>
            </w:pPr>
            <w:r>
              <w:rPr>
                <w:sz w:val="18"/>
                <w:szCs w:val="18"/>
              </w:rPr>
              <w:t>58.5</w:t>
            </w:r>
          </w:p>
        </w:tc>
        <w:tc>
          <w:tcPr>
            <w:tcW w:w="2160" w:type="dxa"/>
            <w:tcBorders>
              <w:top w:val="double" w:sz="4" w:space="0" w:color="000000"/>
              <w:left w:val="none" w:sz="6" w:space="0" w:color="auto"/>
              <w:bottom w:val="single" w:sz="4" w:space="0" w:color="000000"/>
              <w:right w:val="single" w:sz="4" w:space="0" w:color="000000"/>
            </w:tcBorders>
          </w:tcPr>
          <w:p w14:paraId="4AEB4258" w14:textId="77777777" w:rsidR="00EB038A" w:rsidRDefault="00EB038A">
            <w:pPr>
              <w:pStyle w:val="TableParagraph"/>
              <w:kinsoku w:val="0"/>
              <w:overflowPunct w:val="0"/>
              <w:spacing w:before="1"/>
              <w:ind w:left="873"/>
              <w:jc w:val="left"/>
              <w:rPr>
                <w:rFonts w:ascii="Times New Roman" w:hAnsi="Times New Roman" w:cs="Times New Roman"/>
              </w:rPr>
            </w:pPr>
            <w:r>
              <w:rPr>
                <w:sz w:val="18"/>
                <w:szCs w:val="18"/>
              </w:rPr>
              <w:t>300.0</w:t>
            </w:r>
          </w:p>
        </w:tc>
        <w:tc>
          <w:tcPr>
            <w:tcW w:w="1733" w:type="dxa"/>
            <w:tcBorders>
              <w:top w:val="double" w:sz="4" w:space="0" w:color="000000"/>
              <w:left w:val="single" w:sz="4" w:space="0" w:color="000000"/>
              <w:bottom w:val="single" w:sz="4" w:space="0" w:color="000000"/>
              <w:right w:val="none" w:sz="6" w:space="0" w:color="auto"/>
            </w:tcBorders>
          </w:tcPr>
          <w:p w14:paraId="3E5CFCD7" w14:textId="77777777" w:rsidR="00EB038A" w:rsidRDefault="00EB038A">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double" w:sz="4" w:space="0" w:color="000000"/>
              <w:left w:val="none" w:sz="6" w:space="0" w:color="auto"/>
              <w:bottom w:val="single" w:sz="4" w:space="0" w:color="000000"/>
              <w:right w:val="single" w:sz="4" w:space="0" w:color="000000"/>
            </w:tcBorders>
          </w:tcPr>
          <w:p w14:paraId="105C99E7" w14:textId="77777777" w:rsidR="00EB038A" w:rsidRDefault="00EB038A">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double" w:sz="4" w:space="0" w:color="000000"/>
              <w:left w:val="single" w:sz="4" w:space="0" w:color="000000"/>
              <w:bottom w:val="single" w:sz="4" w:space="0" w:color="000000"/>
              <w:right w:val="single" w:sz="4" w:space="0" w:color="000000"/>
            </w:tcBorders>
          </w:tcPr>
          <w:p w14:paraId="4B88E592" w14:textId="77777777" w:rsidR="00EB038A" w:rsidRDefault="00EB038A">
            <w:pPr>
              <w:pStyle w:val="TableParagraph"/>
              <w:kinsoku w:val="0"/>
              <w:overflowPunct w:val="0"/>
              <w:spacing w:before="1"/>
              <w:ind w:left="139" w:right="140"/>
              <w:rPr>
                <w:rFonts w:ascii="Times New Roman" w:hAnsi="Times New Roman" w:cs="Times New Roman"/>
              </w:rPr>
            </w:pPr>
            <w:r>
              <w:rPr>
                <w:sz w:val="18"/>
                <w:szCs w:val="18"/>
              </w:rPr>
              <w:t>Yes</w:t>
            </w:r>
          </w:p>
        </w:tc>
      </w:tr>
      <w:tr w:rsidR="00EB038A" w14:paraId="39ADC1E9" w14:textId="77777777">
        <w:trPr>
          <w:trHeight w:hRule="exact" w:val="230"/>
        </w:trPr>
        <w:tc>
          <w:tcPr>
            <w:tcW w:w="1166" w:type="dxa"/>
            <w:tcBorders>
              <w:top w:val="single" w:sz="4" w:space="0" w:color="000000"/>
              <w:left w:val="single" w:sz="4" w:space="0" w:color="000000"/>
              <w:bottom w:val="single" w:sz="4" w:space="0" w:color="000000"/>
              <w:right w:val="single" w:sz="4" w:space="0" w:color="000000"/>
            </w:tcBorders>
          </w:tcPr>
          <w:p w14:paraId="57BE7660" w14:textId="77777777" w:rsidR="00EB038A" w:rsidRDefault="00EB038A">
            <w:pPr>
              <w:pStyle w:val="TableParagraph"/>
              <w:kinsoku w:val="0"/>
              <w:overflowPunct w:val="0"/>
              <w:spacing w:before="1"/>
              <w:ind w:left="411" w:right="413"/>
              <w:rPr>
                <w:rFonts w:ascii="Times New Roman" w:hAnsi="Times New Roman" w:cs="Times New Roman"/>
              </w:rPr>
            </w:pPr>
            <w:r>
              <w:rPr>
                <w:sz w:val="18"/>
                <w:szCs w:val="18"/>
              </w:rPr>
              <w:t>UF2</w:t>
            </w:r>
          </w:p>
        </w:tc>
        <w:tc>
          <w:tcPr>
            <w:tcW w:w="2070" w:type="dxa"/>
            <w:tcBorders>
              <w:top w:val="single" w:sz="4" w:space="0" w:color="000000"/>
              <w:left w:val="single" w:sz="4" w:space="0" w:color="000000"/>
              <w:bottom w:val="single" w:sz="4" w:space="0" w:color="000000"/>
              <w:right w:val="none" w:sz="6" w:space="0" w:color="auto"/>
            </w:tcBorders>
          </w:tcPr>
          <w:p w14:paraId="40D03158" w14:textId="77777777" w:rsidR="00EB038A" w:rsidRDefault="00EB038A">
            <w:pPr>
              <w:pStyle w:val="TableParagraph"/>
              <w:kinsoku w:val="0"/>
              <w:overflowPunct w:val="0"/>
              <w:spacing w:before="1"/>
              <w:ind w:left="850" w:right="855"/>
              <w:rPr>
                <w:rFonts w:ascii="Times New Roman" w:hAnsi="Times New Roman" w:cs="Times New Roman"/>
              </w:rPr>
            </w:pPr>
            <w:r>
              <w:rPr>
                <w:sz w:val="18"/>
                <w:szCs w:val="18"/>
              </w:rPr>
              <w:t>56.5</w:t>
            </w:r>
          </w:p>
        </w:tc>
        <w:tc>
          <w:tcPr>
            <w:tcW w:w="2160" w:type="dxa"/>
            <w:tcBorders>
              <w:top w:val="single" w:sz="4" w:space="0" w:color="000000"/>
              <w:left w:val="none" w:sz="6" w:space="0" w:color="auto"/>
              <w:bottom w:val="single" w:sz="4" w:space="0" w:color="000000"/>
              <w:right w:val="single" w:sz="4" w:space="0" w:color="000000"/>
            </w:tcBorders>
          </w:tcPr>
          <w:p w14:paraId="0E01C919" w14:textId="77777777" w:rsidR="00EB038A" w:rsidRDefault="00EB038A">
            <w:pPr>
              <w:pStyle w:val="TableParagraph"/>
              <w:kinsoku w:val="0"/>
              <w:overflowPunct w:val="0"/>
              <w:spacing w:before="1"/>
              <w:ind w:left="919"/>
              <w:jc w:val="left"/>
              <w:rPr>
                <w:rFonts w:ascii="Times New Roman" w:hAnsi="Times New Roman" w:cs="Times New Roman"/>
              </w:rPr>
            </w:pPr>
            <w:r>
              <w:rPr>
                <w:sz w:val="18"/>
                <w:szCs w:val="18"/>
              </w:rPr>
              <w:t>0.16</w:t>
            </w:r>
          </w:p>
        </w:tc>
        <w:tc>
          <w:tcPr>
            <w:tcW w:w="1733" w:type="dxa"/>
            <w:tcBorders>
              <w:top w:val="single" w:sz="4" w:space="0" w:color="000000"/>
              <w:left w:val="single" w:sz="4" w:space="0" w:color="000000"/>
              <w:bottom w:val="single" w:sz="4" w:space="0" w:color="000000"/>
              <w:right w:val="none" w:sz="6" w:space="0" w:color="auto"/>
            </w:tcBorders>
          </w:tcPr>
          <w:p w14:paraId="758C8C89" w14:textId="77777777" w:rsidR="00EB038A" w:rsidRDefault="00EB038A">
            <w:pPr>
              <w:pStyle w:val="TableParagraph"/>
              <w:kinsoku w:val="0"/>
              <w:overflowPunct w:val="0"/>
              <w:spacing w:before="1"/>
              <w:ind w:left="527" w:right="531"/>
              <w:rPr>
                <w:rFonts w:ascii="Times New Roman" w:hAnsi="Times New Roman" w:cs="Times New Roman"/>
              </w:rPr>
            </w:pPr>
            <w:r>
              <w:rPr>
                <w:sz w:val="18"/>
                <w:szCs w:val="18"/>
              </w:rPr>
              <w:t>Identical</w:t>
            </w:r>
          </w:p>
        </w:tc>
        <w:tc>
          <w:tcPr>
            <w:tcW w:w="1441" w:type="dxa"/>
            <w:tcBorders>
              <w:top w:val="single" w:sz="4" w:space="0" w:color="000000"/>
              <w:left w:val="none" w:sz="6" w:space="0" w:color="auto"/>
              <w:bottom w:val="single" w:sz="4" w:space="0" w:color="000000"/>
              <w:right w:val="single" w:sz="4" w:space="0" w:color="000000"/>
            </w:tcBorders>
          </w:tcPr>
          <w:p w14:paraId="2BF85669" w14:textId="77777777" w:rsidR="00EB038A" w:rsidRDefault="00EB038A">
            <w:pPr>
              <w:pStyle w:val="TableParagraph"/>
              <w:kinsoku w:val="0"/>
              <w:overflowPunct w:val="0"/>
              <w:spacing w:before="1"/>
              <w:ind w:left="383" w:right="382"/>
              <w:rPr>
                <w:rFonts w:ascii="Times New Roman" w:hAnsi="Times New Roman" w:cs="Times New Roman"/>
              </w:rPr>
            </w:pPr>
            <w:r>
              <w:rPr>
                <w:sz w:val="18"/>
                <w:szCs w:val="18"/>
              </w:rPr>
              <w:t>Identical</w:t>
            </w:r>
          </w:p>
        </w:tc>
        <w:tc>
          <w:tcPr>
            <w:tcW w:w="1531" w:type="dxa"/>
            <w:tcBorders>
              <w:top w:val="single" w:sz="4" w:space="0" w:color="000000"/>
              <w:left w:val="single" w:sz="4" w:space="0" w:color="000000"/>
              <w:bottom w:val="single" w:sz="4" w:space="0" w:color="000000"/>
              <w:right w:val="single" w:sz="4" w:space="0" w:color="000000"/>
            </w:tcBorders>
          </w:tcPr>
          <w:p w14:paraId="7117D0AF" w14:textId="77777777" w:rsidR="00EB038A" w:rsidRDefault="00EB038A">
            <w:pPr>
              <w:pStyle w:val="TableParagraph"/>
              <w:kinsoku w:val="0"/>
              <w:overflowPunct w:val="0"/>
              <w:spacing w:before="1"/>
              <w:ind w:left="139" w:right="140"/>
              <w:rPr>
                <w:rFonts w:ascii="Times New Roman" w:hAnsi="Times New Roman" w:cs="Times New Roman"/>
              </w:rPr>
            </w:pPr>
            <w:r>
              <w:rPr>
                <w:sz w:val="18"/>
                <w:szCs w:val="18"/>
              </w:rPr>
              <w:t>Yes</w:t>
            </w:r>
          </w:p>
        </w:tc>
      </w:tr>
    </w:tbl>
    <w:p w14:paraId="59F4D6B1" w14:textId="77777777" w:rsidR="00EB038A" w:rsidRDefault="00EB038A" w:rsidP="00EB038A">
      <w:pPr>
        <w:pStyle w:val="BodyText"/>
        <w:kinsoku w:val="0"/>
        <w:overflowPunct w:val="0"/>
        <w:rPr>
          <w:b/>
          <w:bCs/>
          <w:sz w:val="22"/>
          <w:szCs w:val="22"/>
        </w:rPr>
      </w:pPr>
    </w:p>
    <w:p w14:paraId="20DD3658" w14:textId="77777777" w:rsidR="00EB038A" w:rsidRDefault="00EB038A" w:rsidP="00EB038A">
      <w:pPr>
        <w:pStyle w:val="BodyText"/>
        <w:kinsoku w:val="0"/>
        <w:overflowPunct w:val="0"/>
        <w:ind w:left="1362" w:right="1379"/>
        <w:jc w:val="center"/>
        <w:rPr>
          <w:b/>
          <w:bCs/>
          <w:sz w:val="22"/>
          <w:szCs w:val="22"/>
        </w:rPr>
      </w:pPr>
      <w:r>
        <w:rPr>
          <w:b/>
          <w:bCs/>
          <w:sz w:val="22"/>
          <w:szCs w:val="22"/>
        </w:rPr>
        <w:t>Table III: Inverters’ Voltage Ride-through Capability and Operational Requirements</w:t>
      </w:r>
    </w:p>
    <w:p w14:paraId="617A92FA" w14:textId="77777777" w:rsidR="00EB038A" w:rsidRDefault="00EB038A" w:rsidP="00EB038A">
      <w:pPr>
        <w:pStyle w:val="BodyText"/>
        <w:kinsoku w:val="0"/>
        <w:overflowPunct w:val="0"/>
        <w:spacing w:before="5" w:after="1"/>
        <w:rPr>
          <w:b/>
          <w:bCs/>
          <w:sz w:val="8"/>
          <w:szCs w:val="8"/>
        </w:rPr>
      </w:pPr>
    </w:p>
    <w:tbl>
      <w:tblPr>
        <w:tblW w:w="0" w:type="auto"/>
        <w:tblInd w:w="156" w:type="dxa"/>
        <w:tblLayout w:type="fixed"/>
        <w:tblCellMar>
          <w:left w:w="0" w:type="dxa"/>
          <w:right w:w="0" w:type="dxa"/>
        </w:tblCellMar>
        <w:tblLook w:val="0000" w:firstRow="0" w:lastRow="0" w:firstColumn="0" w:lastColumn="0" w:noHBand="0" w:noVBand="0"/>
      </w:tblPr>
      <w:tblGrid>
        <w:gridCol w:w="1620"/>
        <w:gridCol w:w="2070"/>
        <w:gridCol w:w="2880"/>
        <w:gridCol w:w="1621"/>
        <w:gridCol w:w="1800"/>
      </w:tblGrid>
      <w:tr w:rsidR="00EB038A" w14:paraId="66B2CD11" w14:textId="77777777">
        <w:trPr>
          <w:trHeight w:hRule="exact" w:val="888"/>
        </w:trPr>
        <w:tc>
          <w:tcPr>
            <w:tcW w:w="1620" w:type="dxa"/>
            <w:tcBorders>
              <w:top w:val="single" w:sz="4" w:space="0" w:color="000000"/>
              <w:left w:val="single" w:sz="4" w:space="0" w:color="000000"/>
              <w:bottom w:val="single" w:sz="4" w:space="0" w:color="000000"/>
              <w:right w:val="single" w:sz="4" w:space="0" w:color="000000"/>
            </w:tcBorders>
            <w:shd w:val="clear" w:color="auto" w:fill="BEBEBE"/>
          </w:tcPr>
          <w:p w14:paraId="366565D3" w14:textId="77777777" w:rsidR="00EB038A" w:rsidRDefault="00EB038A">
            <w:pPr>
              <w:pStyle w:val="TableParagraph"/>
              <w:kinsoku w:val="0"/>
              <w:overflowPunct w:val="0"/>
              <w:jc w:val="left"/>
              <w:rPr>
                <w:b/>
                <w:bCs/>
                <w:sz w:val="18"/>
                <w:szCs w:val="18"/>
              </w:rPr>
            </w:pPr>
          </w:p>
          <w:p w14:paraId="6B0023CB" w14:textId="77777777" w:rsidR="00EB038A" w:rsidRDefault="00EB038A">
            <w:pPr>
              <w:pStyle w:val="TableParagraph"/>
              <w:kinsoku w:val="0"/>
              <w:overflowPunct w:val="0"/>
              <w:ind w:left="605" w:right="246" w:hanging="339"/>
              <w:jc w:val="left"/>
              <w:rPr>
                <w:rFonts w:ascii="Times New Roman" w:hAnsi="Times New Roman" w:cs="Times New Roman"/>
              </w:rPr>
            </w:pPr>
            <w:r>
              <w:rPr>
                <w:b/>
                <w:bCs/>
                <w:sz w:val="18"/>
                <w:szCs w:val="18"/>
              </w:rPr>
              <w:t>Voltage Range (p.u.)</w:t>
            </w:r>
          </w:p>
        </w:tc>
        <w:tc>
          <w:tcPr>
            <w:tcW w:w="2070" w:type="dxa"/>
            <w:tcBorders>
              <w:top w:val="single" w:sz="4" w:space="0" w:color="000000"/>
              <w:left w:val="single" w:sz="4" w:space="0" w:color="000000"/>
              <w:bottom w:val="single" w:sz="4" w:space="0" w:color="000000"/>
              <w:right w:val="single" w:sz="4" w:space="0" w:color="000000"/>
            </w:tcBorders>
            <w:shd w:val="clear" w:color="auto" w:fill="BEBEBE"/>
          </w:tcPr>
          <w:p w14:paraId="7F6A2245" w14:textId="77777777" w:rsidR="00EB038A" w:rsidRDefault="00EB038A">
            <w:pPr>
              <w:pStyle w:val="TableParagraph"/>
              <w:kinsoku w:val="0"/>
              <w:overflowPunct w:val="0"/>
              <w:jc w:val="left"/>
              <w:rPr>
                <w:b/>
                <w:bCs/>
                <w:sz w:val="18"/>
                <w:szCs w:val="18"/>
              </w:rPr>
            </w:pPr>
          </w:p>
          <w:p w14:paraId="25B1B744" w14:textId="77777777" w:rsidR="00EB038A" w:rsidRDefault="00EB038A">
            <w:pPr>
              <w:pStyle w:val="TableParagraph"/>
              <w:kinsoku w:val="0"/>
              <w:overflowPunct w:val="0"/>
              <w:ind w:left="671" w:right="357" w:hanging="298"/>
              <w:jc w:val="left"/>
              <w:rPr>
                <w:rFonts w:ascii="Times New Roman" w:hAnsi="Times New Roman" w:cs="Times New Roman"/>
              </w:rPr>
            </w:pPr>
            <w:r>
              <w:rPr>
                <w:b/>
                <w:bCs/>
                <w:sz w:val="18"/>
                <w:szCs w:val="18"/>
              </w:rPr>
              <w:t>Operating Mode/ Response</w:t>
            </w:r>
          </w:p>
        </w:tc>
        <w:tc>
          <w:tcPr>
            <w:tcW w:w="2880" w:type="dxa"/>
            <w:tcBorders>
              <w:top w:val="single" w:sz="4" w:space="0" w:color="000000"/>
              <w:left w:val="single" w:sz="4" w:space="0" w:color="000000"/>
              <w:bottom w:val="single" w:sz="4" w:space="0" w:color="000000"/>
              <w:right w:val="single" w:sz="4" w:space="0" w:color="000000"/>
            </w:tcBorders>
            <w:shd w:val="clear" w:color="auto" w:fill="BEBEBE"/>
          </w:tcPr>
          <w:p w14:paraId="2DD06B78" w14:textId="77777777" w:rsidR="00EB038A" w:rsidRDefault="00EB038A">
            <w:pPr>
              <w:pStyle w:val="TableParagraph"/>
              <w:kinsoku w:val="0"/>
              <w:overflowPunct w:val="0"/>
              <w:jc w:val="left"/>
              <w:rPr>
                <w:b/>
                <w:bCs/>
                <w:sz w:val="18"/>
                <w:szCs w:val="18"/>
              </w:rPr>
            </w:pPr>
          </w:p>
          <w:p w14:paraId="2FB7A42D" w14:textId="77777777" w:rsidR="00EB038A" w:rsidRDefault="00EB038A">
            <w:pPr>
              <w:pStyle w:val="TableParagraph"/>
              <w:kinsoku w:val="0"/>
              <w:overflowPunct w:val="0"/>
              <w:ind w:left="849" w:right="241" w:hanging="593"/>
              <w:jc w:val="left"/>
              <w:rPr>
                <w:rFonts w:ascii="Times New Roman" w:hAnsi="Times New Roman" w:cs="Times New Roman"/>
              </w:rPr>
            </w:pPr>
            <w:r>
              <w:rPr>
                <w:b/>
                <w:bCs/>
                <w:sz w:val="18"/>
                <w:szCs w:val="18"/>
              </w:rPr>
              <w:t>Minimum Ride-through Time(s) (design criteria)</w:t>
            </w:r>
          </w:p>
        </w:tc>
        <w:tc>
          <w:tcPr>
            <w:tcW w:w="1621" w:type="dxa"/>
            <w:tcBorders>
              <w:top w:val="single" w:sz="4" w:space="0" w:color="000000"/>
              <w:left w:val="single" w:sz="4" w:space="0" w:color="000000"/>
              <w:bottom w:val="single" w:sz="4" w:space="0" w:color="000000"/>
              <w:right w:val="single" w:sz="4" w:space="0" w:color="000000"/>
            </w:tcBorders>
            <w:shd w:val="clear" w:color="auto" w:fill="BEBEBE"/>
          </w:tcPr>
          <w:p w14:paraId="33221410" w14:textId="77777777" w:rsidR="00EB038A" w:rsidRDefault="00EB038A">
            <w:pPr>
              <w:pStyle w:val="TableParagraph"/>
              <w:kinsoku w:val="0"/>
              <w:overflowPunct w:val="0"/>
              <w:spacing w:before="109"/>
              <w:ind w:left="148" w:right="151" w:firstLine="4"/>
              <w:rPr>
                <w:rFonts w:ascii="Times New Roman" w:hAnsi="Times New Roman" w:cs="Times New Roman"/>
              </w:rPr>
            </w:pPr>
            <w:r>
              <w:rPr>
                <w:b/>
                <w:bCs/>
                <w:sz w:val="18"/>
                <w:szCs w:val="18"/>
              </w:rPr>
              <w:t>Maximum Response Time(s) (design criteria)</w:t>
            </w:r>
          </w:p>
        </w:tc>
        <w:tc>
          <w:tcPr>
            <w:tcW w:w="1800" w:type="dxa"/>
            <w:tcBorders>
              <w:top w:val="single" w:sz="4" w:space="0" w:color="000000"/>
              <w:left w:val="single" w:sz="4" w:space="0" w:color="000000"/>
              <w:bottom w:val="single" w:sz="4" w:space="0" w:color="000000"/>
              <w:right w:val="single" w:sz="4" w:space="0" w:color="000000"/>
            </w:tcBorders>
            <w:shd w:val="clear" w:color="auto" w:fill="BEBEBE"/>
          </w:tcPr>
          <w:p w14:paraId="3D6868C1" w14:textId="77777777" w:rsidR="00EB038A" w:rsidRDefault="00EB038A">
            <w:pPr>
              <w:pStyle w:val="TableParagraph"/>
              <w:kinsoku w:val="0"/>
              <w:overflowPunct w:val="0"/>
              <w:ind w:left="153" w:right="153"/>
              <w:rPr>
                <w:b/>
                <w:bCs/>
                <w:sz w:val="18"/>
                <w:szCs w:val="18"/>
              </w:rPr>
            </w:pPr>
            <w:r>
              <w:rPr>
                <w:b/>
                <w:bCs/>
                <w:sz w:val="18"/>
                <w:szCs w:val="18"/>
              </w:rPr>
              <w:t>Comparison to IEEE Std 1547-2018</w:t>
            </w:r>
          </w:p>
          <w:p w14:paraId="69877DC4" w14:textId="77777777" w:rsidR="00EB038A" w:rsidRDefault="00EB038A">
            <w:pPr>
              <w:pStyle w:val="TableParagraph"/>
              <w:kinsoku w:val="0"/>
              <w:overflowPunct w:val="0"/>
              <w:spacing w:before="1" w:line="218" w:lineRule="exact"/>
              <w:ind w:left="590"/>
              <w:jc w:val="left"/>
              <w:rPr>
                <w:b/>
                <w:bCs/>
                <w:sz w:val="18"/>
                <w:szCs w:val="18"/>
              </w:rPr>
            </w:pPr>
            <w:r>
              <w:rPr>
                <w:b/>
                <w:bCs/>
                <w:sz w:val="18"/>
                <w:szCs w:val="18"/>
              </w:rPr>
              <w:t>(2</w:t>
            </w:r>
            <w:r>
              <w:rPr>
                <w:b/>
                <w:bCs/>
                <w:position w:val="9"/>
                <w:sz w:val="12"/>
                <w:szCs w:val="12"/>
              </w:rPr>
              <w:t xml:space="preserve">nd </w:t>
            </w:r>
            <w:r>
              <w:rPr>
                <w:b/>
                <w:bCs/>
                <w:sz w:val="18"/>
                <w:szCs w:val="18"/>
              </w:rPr>
              <w:t>ed.)</w:t>
            </w:r>
          </w:p>
          <w:p w14:paraId="0DF0B740" w14:textId="77777777" w:rsidR="00EB038A" w:rsidRDefault="00EB038A">
            <w:pPr>
              <w:pStyle w:val="TableParagraph"/>
              <w:kinsoku w:val="0"/>
              <w:overflowPunct w:val="0"/>
              <w:spacing w:before="1"/>
              <w:ind w:left="153" w:right="153"/>
              <w:rPr>
                <w:rFonts w:ascii="Times New Roman" w:hAnsi="Times New Roman" w:cs="Times New Roman"/>
              </w:rPr>
            </w:pPr>
            <w:r>
              <w:rPr>
                <w:b/>
                <w:bCs/>
                <w:sz w:val="18"/>
                <w:szCs w:val="18"/>
              </w:rPr>
              <w:t>for Category II</w:t>
            </w:r>
          </w:p>
        </w:tc>
      </w:tr>
      <w:tr w:rsidR="00EB038A" w14:paraId="06D51692"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7471F591" w14:textId="77777777" w:rsidR="00EB038A" w:rsidRDefault="00EB038A">
            <w:pPr>
              <w:pStyle w:val="TableParagraph"/>
              <w:kinsoku w:val="0"/>
              <w:overflowPunct w:val="0"/>
              <w:spacing w:line="219" w:lineRule="exact"/>
              <w:ind w:left="509"/>
              <w:jc w:val="left"/>
              <w:rPr>
                <w:rFonts w:ascii="Times New Roman" w:hAnsi="Times New Roman" w:cs="Times New Roman"/>
              </w:rPr>
            </w:pPr>
            <w:r>
              <w:rPr>
                <w:sz w:val="18"/>
                <w:szCs w:val="18"/>
              </w:rPr>
              <w:t>V &gt; 1.20</w:t>
            </w:r>
          </w:p>
        </w:tc>
        <w:tc>
          <w:tcPr>
            <w:tcW w:w="2070" w:type="dxa"/>
            <w:tcBorders>
              <w:top w:val="single" w:sz="4" w:space="0" w:color="000000"/>
              <w:left w:val="single" w:sz="4" w:space="0" w:color="000000"/>
              <w:bottom w:val="single" w:sz="4" w:space="0" w:color="000000"/>
              <w:right w:val="single" w:sz="4" w:space="0" w:color="000000"/>
            </w:tcBorders>
          </w:tcPr>
          <w:p w14:paraId="52E6A732" w14:textId="77777777" w:rsidR="00EB038A" w:rsidRDefault="00EB038A">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75A91C2D" w14:textId="77777777" w:rsidR="00EB038A" w:rsidRDefault="00EB038A">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73AAE394"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7DE9A111"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EB038A" w14:paraId="004F20E3"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37CF8939" w14:textId="77777777" w:rsidR="00EB038A" w:rsidRDefault="00EB038A">
            <w:pPr>
              <w:pStyle w:val="TableParagraph"/>
              <w:kinsoku w:val="0"/>
              <w:overflowPunct w:val="0"/>
              <w:spacing w:line="219" w:lineRule="exact"/>
              <w:ind w:left="218"/>
              <w:jc w:val="left"/>
              <w:rPr>
                <w:rFonts w:ascii="Times New Roman" w:hAnsi="Times New Roman" w:cs="Times New Roman"/>
              </w:rPr>
            </w:pPr>
            <w:r>
              <w:rPr>
                <w:sz w:val="18"/>
                <w:szCs w:val="18"/>
              </w:rPr>
              <w:t>1.175 &lt; V ≤ 1.20</w:t>
            </w:r>
          </w:p>
        </w:tc>
        <w:tc>
          <w:tcPr>
            <w:tcW w:w="2070" w:type="dxa"/>
            <w:tcBorders>
              <w:top w:val="single" w:sz="4" w:space="0" w:color="000000"/>
              <w:left w:val="single" w:sz="4" w:space="0" w:color="000000"/>
              <w:bottom w:val="single" w:sz="4" w:space="0" w:color="000000"/>
              <w:right w:val="single" w:sz="4" w:space="0" w:color="000000"/>
            </w:tcBorders>
          </w:tcPr>
          <w:p w14:paraId="2FD033AA" w14:textId="77777777" w:rsidR="00EB038A" w:rsidRDefault="00EB038A">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615AC012"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0.2</w:t>
            </w:r>
          </w:p>
        </w:tc>
        <w:tc>
          <w:tcPr>
            <w:tcW w:w="1621" w:type="dxa"/>
            <w:tcBorders>
              <w:top w:val="single" w:sz="4" w:space="0" w:color="000000"/>
              <w:left w:val="single" w:sz="4" w:space="0" w:color="000000"/>
              <w:bottom w:val="single" w:sz="4" w:space="0" w:color="000000"/>
              <w:right w:val="single" w:sz="4" w:space="0" w:color="000000"/>
            </w:tcBorders>
          </w:tcPr>
          <w:p w14:paraId="71875F08"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7155B6B5"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EB038A" w14:paraId="26A5BCF9" w14:textId="77777777">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76AD63ED" w14:textId="77777777" w:rsidR="00EB038A" w:rsidRDefault="00EB038A">
            <w:pPr>
              <w:pStyle w:val="TableParagraph"/>
              <w:kinsoku w:val="0"/>
              <w:overflowPunct w:val="0"/>
              <w:spacing w:line="219" w:lineRule="exact"/>
              <w:ind w:left="218"/>
              <w:jc w:val="left"/>
              <w:rPr>
                <w:rFonts w:ascii="Times New Roman" w:hAnsi="Times New Roman" w:cs="Times New Roman"/>
              </w:rPr>
            </w:pPr>
            <w:r>
              <w:rPr>
                <w:sz w:val="18"/>
                <w:szCs w:val="18"/>
              </w:rPr>
              <w:t>1.15 &lt; V ≤ 1.175</w:t>
            </w:r>
          </w:p>
        </w:tc>
        <w:tc>
          <w:tcPr>
            <w:tcW w:w="2070" w:type="dxa"/>
            <w:tcBorders>
              <w:top w:val="single" w:sz="4" w:space="0" w:color="000000"/>
              <w:left w:val="single" w:sz="4" w:space="0" w:color="000000"/>
              <w:bottom w:val="single" w:sz="4" w:space="0" w:color="000000"/>
              <w:right w:val="single" w:sz="4" w:space="0" w:color="000000"/>
            </w:tcBorders>
          </w:tcPr>
          <w:p w14:paraId="74DF7587" w14:textId="77777777" w:rsidR="00EB038A" w:rsidRDefault="00EB038A">
            <w:pPr>
              <w:pStyle w:val="TableParagraph"/>
              <w:kinsoku w:val="0"/>
              <w:overflowPunct w:val="0"/>
              <w:spacing w:line="219" w:lineRule="exact"/>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single" w:sz="4" w:space="0" w:color="000000"/>
              <w:right w:val="single" w:sz="4" w:space="0" w:color="000000"/>
            </w:tcBorders>
          </w:tcPr>
          <w:p w14:paraId="3BACC2FD"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0.5</w:t>
            </w:r>
          </w:p>
        </w:tc>
        <w:tc>
          <w:tcPr>
            <w:tcW w:w="1621" w:type="dxa"/>
            <w:tcBorders>
              <w:top w:val="single" w:sz="4" w:space="0" w:color="000000"/>
              <w:left w:val="single" w:sz="4" w:space="0" w:color="000000"/>
              <w:bottom w:val="single" w:sz="4" w:space="0" w:color="000000"/>
              <w:right w:val="single" w:sz="4" w:space="0" w:color="000000"/>
            </w:tcBorders>
          </w:tcPr>
          <w:p w14:paraId="6DC142FE"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2A33F75F"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r w:rsidR="00EB038A" w14:paraId="61D37005" w14:textId="77777777">
        <w:trPr>
          <w:trHeight w:hRule="exact" w:val="240"/>
        </w:trPr>
        <w:tc>
          <w:tcPr>
            <w:tcW w:w="1620" w:type="dxa"/>
            <w:tcBorders>
              <w:top w:val="single" w:sz="4" w:space="0" w:color="000000"/>
              <w:left w:val="single" w:sz="4" w:space="0" w:color="000000"/>
              <w:bottom w:val="double" w:sz="4" w:space="0" w:color="000000"/>
              <w:right w:val="single" w:sz="4" w:space="0" w:color="000000"/>
            </w:tcBorders>
          </w:tcPr>
          <w:p w14:paraId="3F4F5E8B" w14:textId="77777777" w:rsidR="00EB038A" w:rsidRDefault="00EB038A">
            <w:pPr>
              <w:pStyle w:val="TableParagraph"/>
              <w:kinsoku w:val="0"/>
              <w:overflowPunct w:val="0"/>
              <w:spacing w:before="1"/>
              <w:ind w:left="264"/>
              <w:jc w:val="left"/>
              <w:rPr>
                <w:rFonts w:ascii="Times New Roman" w:hAnsi="Times New Roman" w:cs="Times New Roman"/>
              </w:rPr>
            </w:pPr>
            <w:r>
              <w:rPr>
                <w:sz w:val="18"/>
                <w:szCs w:val="18"/>
              </w:rPr>
              <w:t>1.10 &lt; V ≤ 1.15</w:t>
            </w:r>
          </w:p>
        </w:tc>
        <w:tc>
          <w:tcPr>
            <w:tcW w:w="2070" w:type="dxa"/>
            <w:tcBorders>
              <w:top w:val="single" w:sz="4" w:space="0" w:color="000000"/>
              <w:left w:val="single" w:sz="4" w:space="0" w:color="000000"/>
              <w:bottom w:val="double" w:sz="4" w:space="0" w:color="000000"/>
              <w:right w:val="single" w:sz="4" w:space="0" w:color="000000"/>
            </w:tcBorders>
          </w:tcPr>
          <w:p w14:paraId="62EADC47" w14:textId="77777777" w:rsidR="00EB038A" w:rsidRDefault="00EB038A">
            <w:pPr>
              <w:pStyle w:val="TableParagraph"/>
              <w:kinsoku w:val="0"/>
              <w:overflowPunct w:val="0"/>
              <w:spacing w:before="1"/>
              <w:ind w:left="128" w:right="131"/>
              <w:rPr>
                <w:rFonts w:ascii="Times New Roman" w:hAnsi="Times New Roman" w:cs="Times New Roman"/>
              </w:rPr>
            </w:pPr>
            <w:r>
              <w:rPr>
                <w:sz w:val="18"/>
                <w:szCs w:val="18"/>
              </w:rPr>
              <w:t>Permissive Operation</w:t>
            </w:r>
          </w:p>
        </w:tc>
        <w:tc>
          <w:tcPr>
            <w:tcW w:w="2880" w:type="dxa"/>
            <w:tcBorders>
              <w:top w:val="single" w:sz="4" w:space="0" w:color="000000"/>
              <w:left w:val="single" w:sz="4" w:space="0" w:color="000000"/>
              <w:bottom w:val="double" w:sz="4" w:space="0" w:color="000000"/>
              <w:right w:val="single" w:sz="4" w:space="0" w:color="000000"/>
            </w:tcBorders>
          </w:tcPr>
          <w:p w14:paraId="67116B34" w14:textId="77777777" w:rsidR="00EB038A" w:rsidRDefault="00EB038A">
            <w:pPr>
              <w:pStyle w:val="TableParagraph"/>
              <w:kinsoku w:val="0"/>
              <w:overflowPunct w:val="0"/>
              <w:spacing w:before="1"/>
              <w:rPr>
                <w:rFonts w:ascii="Times New Roman" w:hAnsi="Times New Roman" w:cs="Times New Roman"/>
              </w:rPr>
            </w:pPr>
            <w:r>
              <w:rPr>
                <w:sz w:val="18"/>
                <w:szCs w:val="18"/>
              </w:rPr>
              <w:t>1</w:t>
            </w:r>
          </w:p>
        </w:tc>
        <w:tc>
          <w:tcPr>
            <w:tcW w:w="1621" w:type="dxa"/>
            <w:tcBorders>
              <w:top w:val="single" w:sz="4" w:space="0" w:color="000000"/>
              <w:left w:val="single" w:sz="4" w:space="0" w:color="000000"/>
              <w:bottom w:val="double" w:sz="4" w:space="0" w:color="000000"/>
              <w:right w:val="single" w:sz="4" w:space="0" w:color="000000"/>
            </w:tcBorders>
          </w:tcPr>
          <w:p w14:paraId="224A9ACF" w14:textId="77777777" w:rsidR="00EB038A" w:rsidRDefault="00EB038A">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double" w:sz="4" w:space="0" w:color="000000"/>
              <w:right w:val="single" w:sz="4" w:space="0" w:color="000000"/>
            </w:tcBorders>
          </w:tcPr>
          <w:p w14:paraId="2321C6C6" w14:textId="77777777" w:rsidR="00EB038A" w:rsidRDefault="00EB038A">
            <w:pPr>
              <w:pStyle w:val="TableParagraph"/>
              <w:kinsoku w:val="0"/>
              <w:overflowPunct w:val="0"/>
              <w:spacing w:before="1"/>
              <w:ind w:left="153" w:right="153"/>
              <w:rPr>
                <w:rFonts w:ascii="Times New Roman" w:hAnsi="Times New Roman" w:cs="Times New Roman"/>
              </w:rPr>
            </w:pPr>
            <w:r>
              <w:rPr>
                <w:sz w:val="18"/>
                <w:szCs w:val="18"/>
              </w:rPr>
              <w:t>Identical</w:t>
            </w:r>
          </w:p>
        </w:tc>
      </w:tr>
      <w:tr w:rsidR="00EB038A" w14:paraId="7B649269" w14:textId="77777777">
        <w:trPr>
          <w:trHeight w:hRule="exact" w:val="250"/>
        </w:trPr>
        <w:tc>
          <w:tcPr>
            <w:tcW w:w="1620" w:type="dxa"/>
            <w:tcBorders>
              <w:top w:val="double" w:sz="4" w:space="0" w:color="000000"/>
              <w:left w:val="single" w:sz="4" w:space="0" w:color="000000"/>
              <w:bottom w:val="double" w:sz="4" w:space="0" w:color="000000"/>
              <w:right w:val="single" w:sz="4" w:space="0" w:color="000000"/>
            </w:tcBorders>
          </w:tcPr>
          <w:p w14:paraId="077D64B5" w14:textId="77777777" w:rsidR="00EB038A" w:rsidRDefault="00EB038A">
            <w:pPr>
              <w:pStyle w:val="TableParagraph"/>
              <w:kinsoku w:val="0"/>
              <w:overflowPunct w:val="0"/>
              <w:spacing w:before="1"/>
              <w:ind w:left="264"/>
              <w:jc w:val="left"/>
              <w:rPr>
                <w:rFonts w:ascii="Times New Roman" w:hAnsi="Times New Roman" w:cs="Times New Roman"/>
              </w:rPr>
            </w:pPr>
            <w:r>
              <w:rPr>
                <w:sz w:val="18"/>
                <w:szCs w:val="18"/>
              </w:rPr>
              <w:t>0.88 ≤ V ≤ 1.10</w:t>
            </w:r>
          </w:p>
        </w:tc>
        <w:tc>
          <w:tcPr>
            <w:tcW w:w="2070" w:type="dxa"/>
            <w:tcBorders>
              <w:top w:val="double" w:sz="4" w:space="0" w:color="000000"/>
              <w:left w:val="single" w:sz="4" w:space="0" w:color="000000"/>
              <w:bottom w:val="double" w:sz="4" w:space="0" w:color="000000"/>
              <w:right w:val="single" w:sz="4" w:space="0" w:color="000000"/>
            </w:tcBorders>
          </w:tcPr>
          <w:p w14:paraId="708D3504" w14:textId="77777777" w:rsidR="00EB038A" w:rsidRDefault="00EB038A">
            <w:pPr>
              <w:pStyle w:val="TableParagraph"/>
              <w:kinsoku w:val="0"/>
              <w:overflowPunct w:val="0"/>
              <w:spacing w:before="1"/>
              <w:ind w:left="128" w:right="131"/>
              <w:rPr>
                <w:rFonts w:ascii="Times New Roman" w:hAnsi="Times New Roman" w:cs="Times New Roman"/>
              </w:rPr>
            </w:pPr>
            <w:r>
              <w:rPr>
                <w:sz w:val="18"/>
                <w:szCs w:val="18"/>
              </w:rPr>
              <w:t>Continuous Operation</w:t>
            </w:r>
          </w:p>
        </w:tc>
        <w:tc>
          <w:tcPr>
            <w:tcW w:w="2880" w:type="dxa"/>
            <w:tcBorders>
              <w:top w:val="double" w:sz="4" w:space="0" w:color="000000"/>
              <w:left w:val="single" w:sz="4" w:space="0" w:color="000000"/>
              <w:bottom w:val="double" w:sz="4" w:space="0" w:color="000000"/>
              <w:right w:val="single" w:sz="4" w:space="0" w:color="000000"/>
            </w:tcBorders>
          </w:tcPr>
          <w:p w14:paraId="7437BC4E" w14:textId="77777777" w:rsidR="00EB038A" w:rsidRDefault="00EB038A">
            <w:pPr>
              <w:pStyle w:val="TableParagraph"/>
              <w:kinsoku w:val="0"/>
              <w:overflowPunct w:val="0"/>
              <w:spacing w:before="1"/>
              <w:ind w:left="1156" w:right="1156"/>
              <w:rPr>
                <w:rFonts w:ascii="Times New Roman" w:hAnsi="Times New Roman" w:cs="Times New Roman"/>
              </w:rPr>
            </w:pPr>
            <w:r>
              <w:rPr>
                <w:sz w:val="18"/>
                <w:szCs w:val="18"/>
              </w:rPr>
              <w:t>infinite</w:t>
            </w:r>
          </w:p>
        </w:tc>
        <w:tc>
          <w:tcPr>
            <w:tcW w:w="1621" w:type="dxa"/>
            <w:tcBorders>
              <w:top w:val="double" w:sz="4" w:space="0" w:color="000000"/>
              <w:left w:val="single" w:sz="4" w:space="0" w:color="000000"/>
              <w:bottom w:val="double" w:sz="4" w:space="0" w:color="000000"/>
              <w:right w:val="single" w:sz="4" w:space="0" w:color="000000"/>
            </w:tcBorders>
          </w:tcPr>
          <w:p w14:paraId="1940053C" w14:textId="77777777" w:rsidR="00EB038A" w:rsidRDefault="00EB038A">
            <w:pPr>
              <w:pStyle w:val="TableParagraph"/>
              <w:kinsoku w:val="0"/>
              <w:overflowPunct w:val="0"/>
              <w:spacing w:before="1"/>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double" w:sz="4" w:space="0" w:color="000000"/>
              <w:right w:val="single" w:sz="4" w:space="0" w:color="000000"/>
            </w:tcBorders>
          </w:tcPr>
          <w:p w14:paraId="48157CE1" w14:textId="77777777" w:rsidR="00EB038A" w:rsidRDefault="00EB038A">
            <w:pPr>
              <w:pStyle w:val="TableParagraph"/>
              <w:kinsoku w:val="0"/>
              <w:overflowPunct w:val="0"/>
              <w:spacing w:before="1"/>
              <w:ind w:left="153" w:right="153"/>
              <w:rPr>
                <w:rFonts w:ascii="Times New Roman" w:hAnsi="Times New Roman" w:cs="Times New Roman"/>
              </w:rPr>
            </w:pPr>
            <w:r>
              <w:rPr>
                <w:sz w:val="18"/>
                <w:szCs w:val="18"/>
              </w:rPr>
              <w:t>Identical</w:t>
            </w:r>
          </w:p>
        </w:tc>
      </w:tr>
      <w:tr w:rsidR="00EB038A" w14:paraId="2D5B2956" w14:textId="77777777">
        <w:trPr>
          <w:trHeight w:hRule="exact" w:val="903"/>
        </w:trPr>
        <w:tc>
          <w:tcPr>
            <w:tcW w:w="1620" w:type="dxa"/>
            <w:tcBorders>
              <w:top w:val="double" w:sz="4" w:space="0" w:color="000000"/>
              <w:left w:val="single" w:sz="4" w:space="0" w:color="000000"/>
              <w:bottom w:val="single" w:sz="4" w:space="0" w:color="000000"/>
              <w:right w:val="single" w:sz="4" w:space="0" w:color="000000"/>
            </w:tcBorders>
          </w:tcPr>
          <w:p w14:paraId="5C51BBB5" w14:textId="77777777" w:rsidR="00EB038A" w:rsidRDefault="00EB038A">
            <w:pPr>
              <w:pStyle w:val="TableParagraph"/>
              <w:kinsoku w:val="0"/>
              <w:overflowPunct w:val="0"/>
              <w:jc w:val="left"/>
              <w:rPr>
                <w:b/>
                <w:bCs/>
                <w:sz w:val="18"/>
                <w:szCs w:val="18"/>
              </w:rPr>
            </w:pPr>
          </w:p>
          <w:p w14:paraId="469AE871" w14:textId="77777777" w:rsidR="00EB038A" w:rsidRDefault="00EB038A">
            <w:pPr>
              <w:pStyle w:val="TableParagraph"/>
              <w:kinsoku w:val="0"/>
              <w:overflowPunct w:val="0"/>
              <w:spacing w:before="113"/>
              <w:ind w:left="264"/>
              <w:jc w:val="left"/>
              <w:rPr>
                <w:rFonts w:ascii="Times New Roman" w:hAnsi="Times New Roman" w:cs="Times New Roman"/>
              </w:rPr>
            </w:pPr>
            <w:r>
              <w:rPr>
                <w:sz w:val="18"/>
                <w:szCs w:val="18"/>
              </w:rPr>
              <w:t>0.65 ≤ V &lt; 0.88</w:t>
            </w:r>
          </w:p>
        </w:tc>
        <w:tc>
          <w:tcPr>
            <w:tcW w:w="2070" w:type="dxa"/>
            <w:tcBorders>
              <w:top w:val="double" w:sz="4" w:space="0" w:color="000000"/>
              <w:left w:val="single" w:sz="4" w:space="0" w:color="000000"/>
              <w:bottom w:val="single" w:sz="4" w:space="0" w:color="000000"/>
              <w:right w:val="single" w:sz="4" w:space="0" w:color="000000"/>
            </w:tcBorders>
          </w:tcPr>
          <w:p w14:paraId="3FD42126" w14:textId="77777777" w:rsidR="00EB038A" w:rsidRDefault="00EB038A">
            <w:pPr>
              <w:pStyle w:val="TableParagraph"/>
              <w:kinsoku w:val="0"/>
              <w:overflowPunct w:val="0"/>
              <w:jc w:val="left"/>
              <w:rPr>
                <w:b/>
                <w:bCs/>
                <w:sz w:val="18"/>
                <w:szCs w:val="18"/>
              </w:rPr>
            </w:pPr>
          </w:p>
          <w:p w14:paraId="48089070" w14:textId="77777777" w:rsidR="00EB038A" w:rsidRDefault="00EB038A">
            <w:pPr>
              <w:pStyle w:val="TableParagraph"/>
              <w:kinsoku w:val="0"/>
              <w:overflowPunct w:val="0"/>
              <w:spacing w:before="113"/>
              <w:ind w:left="129" w:right="129"/>
              <w:rPr>
                <w:rFonts w:ascii="Times New Roman" w:hAnsi="Times New Roman" w:cs="Times New Roman"/>
              </w:rPr>
            </w:pPr>
            <w:r>
              <w:rPr>
                <w:sz w:val="18"/>
                <w:szCs w:val="18"/>
              </w:rPr>
              <w:t>Mandatory Operation</w:t>
            </w:r>
          </w:p>
        </w:tc>
        <w:tc>
          <w:tcPr>
            <w:tcW w:w="2880" w:type="dxa"/>
            <w:tcBorders>
              <w:top w:val="double" w:sz="4" w:space="0" w:color="000000"/>
              <w:left w:val="single" w:sz="4" w:space="0" w:color="000000"/>
              <w:bottom w:val="single" w:sz="4" w:space="0" w:color="000000"/>
              <w:right w:val="single" w:sz="4" w:space="0" w:color="000000"/>
            </w:tcBorders>
          </w:tcPr>
          <w:p w14:paraId="0B99E62B" w14:textId="77777777" w:rsidR="00EB038A" w:rsidRDefault="00EB038A">
            <w:pPr>
              <w:pStyle w:val="TableParagraph"/>
              <w:kinsoku w:val="0"/>
              <w:overflowPunct w:val="0"/>
              <w:spacing w:before="1"/>
              <w:ind w:left="472" w:right="162" w:hanging="296"/>
              <w:jc w:val="left"/>
              <w:rPr>
                <w:sz w:val="18"/>
                <w:szCs w:val="18"/>
              </w:rPr>
            </w:pPr>
            <w:r>
              <w:rPr>
                <w:sz w:val="18"/>
                <w:szCs w:val="18"/>
              </w:rPr>
              <w:t>Linear slope of 8.7 s/1 p.u. voltage starting at 3 s @ 0.65 p.u.:</w:t>
            </w:r>
          </w:p>
          <w:p w14:paraId="2A1FAC0E" w14:textId="77777777" w:rsidR="00EB038A" w:rsidRDefault="00EB038A">
            <w:pPr>
              <w:pStyle w:val="TableParagraph"/>
              <w:kinsoku w:val="0"/>
              <w:overflowPunct w:val="0"/>
              <w:spacing w:line="268" w:lineRule="exact"/>
              <w:ind w:left="127"/>
              <w:jc w:val="left"/>
              <w:rPr>
                <w:rFonts w:ascii="Cambria Math" w:hAnsi="Cambria Math" w:cs="Cambria Math"/>
                <w:position w:val="1"/>
                <w:sz w:val="18"/>
                <w:szCs w:val="18"/>
              </w:rPr>
            </w:pPr>
            <w:r>
              <w:rPr>
                <w:rFonts w:ascii="Cambria Math" w:hAnsi="Cambria Math" w:cs="Cambria Math"/>
                <w:sz w:val="18"/>
                <w:szCs w:val="18"/>
              </w:rPr>
              <w:t xml:space="preserve">𝑇 = 3 </w:t>
            </w:r>
            <w:r>
              <w:rPr>
                <w:sz w:val="18"/>
                <w:szCs w:val="18"/>
              </w:rPr>
              <w:t xml:space="preserve">s </w:t>
            </w:r>
            <w:r>
              <w:rPr>
                <w:rFonts w:ascii="Cambria Math" w:hAnsi="Cambria Math" w:cs="Cambria Math"/>
                <w:sz w:val="18"/>
                <w:szCs w:val="18"/>
              </w:rPr>
              <w:t xml:space="preserve">+ </w:t>
            </w:r>
            <w:r>
              <w:rPr>
                <w:rFonts w:ascii="Cambria Math" w:hAnsi="Cambria Math" w:cs="Cambria Math"/>
                <w:position w:val="14"/>
                <w:sz w:val="18"/>
                <w:szCs w:val="18"/>
              </w:rPr>
              <w:t xml:space="preserve">8.7 s </w:t>
            </w:r>
            <w:r>
              <w:rPr>
                <w:rFonts w:ascii="Cambria Math" w:hAnsi="Cambria Math" w:cs="Cambria Math"/>
                <w:position w:val="1"/>
                <w:sz w:val="18"/>
                <w:szCs w:val="18"/>
              </w:rPr>
              <w:t>(</w:t>
            </w:r>
            <w:r>
              <w:rPr>
                <w:rFonts w:ascii="Cambria Math" w:hAnsi="Cambria Math" w:cs="Cambria Math"/>
                <w:sz w:val="18"/>
                <w:szCs w:val="18"/>
              </w:rPr>
              <w:t xml:space="preserve">𝑉 − 0.65 </w:t>
            </w:r>
            <w:r>
              <w:rPr>
                <w:sz w:val="18"/>
                <w:szCs w:val="18"/>
              </w:rPr>
              <w:t>p.u.</w:t>
            </w:r>
            <w:r>
              <w:rPr>
                <w:rFonts w:ascii="Cambria Math" w:hAnsi="Cambria Math" w:cs="Cambria Math"/>
                <w:position w:val="1"/>
                <w:sz w:val="18"/>
                <w:szCs w:val="18"/>
              </w:rPr>
              <w:t>)</w:t>
            </w:r>
          </w:p>
          <w:p w14:paraId="1C1863EA" w14:textId="77777777" w:rsidR="00EB038A" w:rsidRDefault="00EB038A">
            <w:pPr>
              <w:pStyle w:val="TableParagraph"/>
              <w:kinsoku w:val="0"/>
              <w:overflowPunct w:val="0"/>
              <w:spacing w:line="178" w:lineRule="exact"/>
              <w:ind w:left="216"/>
              <w:jc w:val="left"/>
              <w:rPr>
                <w:rFonts w:ascii="Times New Roman" w:hAnsi="Times New Roman" w:cs="Times New Roman"/>
              </w:rPr>
            </w:pPr>
            <w:r>
              <w:rPr>
                <w:rFonts w:ascii="Cambria Math" w:hAnsi="Cambria Math" w:cs="Cambria Math"/>
                <w:position w:val="8"/>
                <w:sz w:val="13"/>
                <w:szCs w:val="13"/>
              </w:rPr>
              <w:t xml:space="preserve">𝑉𝑅𝑇 </w:t>
            </w:r>
            <w:r>
              <w:rPr>
                <w:rFonts w:ascii="Cambria Math" w:hAnsi="Cambria Math" w:cs="Cambria Math"/>
                <w:sz w:val="18"/>
                <w:szCs w:val="18"/>
              </w:rPr>
              <w:t>1 p. u.</w:t>
            </w:r>
          </w:p>
        </w:tc>
        <w:tc>
          <w:tcPr>
            <w:tcW w:w="1621" w:type="dxa"/>
            <w:tcBorders>
              <w:top w:val="double" w:sz="4" w:space="0" w:color="000000"/>
              <w:left w:val="single" w:sz="4" w:space="0" w:color="000000"/>
              <w:bottom w:val="single" w:sz="4" w:space="0" w:color="000000"/>
              <w:right w:val="single" w:sz="4" w:space="0" w:color="000000"/>
            </w:tcBorders>
          </w:tcPr>
          <w:p w14:paraId="6EBDBEC7" w14:textId="77777777" w:rsidR="00EB038A" w:rsidRDefault="00EB038A">
            <w:pPr>
              <w:pStyle w:val="TableParagraph"/>
              <w:kinsoku w:val="0"/>
              <w:overflowPunct w:val="0"/>
              <w:jc w:val="left"/>
              <w:rPr>
                <w:b/>
                <w:bCs/>
                <w:sz w:val="18"/>
                <w:szCs w:val="18"/>
              </w:rPr>
            </w:pPr>
          </w:p>
          <w:p w14:paraId="004CD008" w14:textId="77777777" w:rsidR="00EB038A" w:rsidRDefault="00EB038A">
            <w:pPr>
              <w:pStyle w:val="TableParagraph"/>
              <w:kinsoku w:val="0"/>
              <w:overflowPunct w:val="0"/>
              <w:spacing w:before="113"/>
              <w:ind w:left="625" w:right="625"/>
              <w:rPr>
                <w:rFonts w:ascii="Times New Roman" w:hAnsi="Times New Roman" w:cs="Times New Roman"/>
              </w:rPr>
            </w:pPr>
            <w:r>
              <w:rPr>
                <w:sz w:val="18"/>
                <w:szCs w:val="18"/>
              </w:rPr>
              <w:t>N/A</w:t>
            </w:r>
          </w:p>
        </w:tc>
        <w:tc>
          <w:tcPr>
            <w:tcW w:w="1800" w:type="dxa"/>
            <w:tcBorders>
              <w:top w:val="double" w:sz="4" w:space="0" w:color="000000"/>
              <w:left w:val="single" w:sz="4" w:space="0" w:color="000000"/>
              <w:bottom w:val="single" w:sz="4" w:space="0" w:color="000000"/>
              <w:right w:val="single" w:sz="4" w:space="0" w:color="000000"/>
            </w:tcBorders>
          </w:tcPr>
          <w:p w14:paraId="1DD58093" w14:textId="77777777" w:rsidR="00EB038A" w:rsidRDefault="00EB038A">
            <w:pPr>
              <w:pStyle w:val="TableParagraph"/>
              <w:kinsoku w:val="0"/>
              <w:overflowPunct w:val="0"/>
              <w:jc w:val="left"/>
              <w:rPr>
                <w:b/>
                <w:bCs/>
                <w:sz w:val="18"/>
                <w:szCs w:val="18"/>
              </w:rPr>
            </w:pPr>
          </w:p>
          <w:p w14:paraId="22B24DB0" w14:textId="77777777" w:rsidR="00EB038A" w:rsidRDefault="00EB038A">
            <w:pPr>
              <w:pStyle w:val="TableParagraph"/>
              <w:kinsoku w:val="0"/>
              <w:overflowPunct w:val="0"/>
              <w:spacing w:before="113"/>
              <w:ind w:left="153" w:right="153"/>
              <w:rPr>
                <w:rFonts w:ascii="Times New Roman" w:hAnsi="Times New Roman" w:cs="Times New Roman"/>
              </w:rPr>
            </w:pPr>
            <w:r>
              <w:rPr>
                <w:sz w:val="18"/>
                <w:szCs w:val="18"/>
              </w:rPr>
              <w:t>Identical</w:t>
            </w:r>
          </w:p>
        </w:tc>
      </w:tr>
      <w:tr w:rsidR="00EB038A" w14:paraId="14291A38"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1D4D9E43" w14:textId="77777777" w:rsidR="00EB038A" w:rsidRDefault="00EB038A">
            <w:pPr>
              <w:pStyle w:val="TableParagraph"/>
              <w:kinsoku w:val="0"/>
              <w:overflowPunct w:val="0"/>
              <w:spacing w:line="219" w:lineRule="exact"/>
              <w:ind w:left="264"/>
              <w:jc w:val="left"/>
              <w:rPr>
                <w:rFonts w:ascii="Times New Roman" w:hAnsi="Times New Roman" w:cs="Times New Roman"/>
              </w:rPr>
            </w:pPr>
            <w:r>
              <w:rPr>
                <w:sz w:val="18"/>
                <w:szCs w:val="18"/>
              </w:rPr>
              <w:t>0.45 ≤ V &lt; 0.65</w:t>
            </w:r>
          </w:p>
        </w:tc>
        <w:tc>
          <w:tcPr>
            <w:tcW w:w="2070" w:type="dxa"/>
            <w:tcBorders>
              <w:top w:val="single" w:sz="4" w:space="0" w:color="000000"/>
              <w:left w:val="single" w:sz="4" w:space="0" w:color="000000"/>
              <w:bottom w:val="single" w:sz="4" w:space="0" w:color="000000"/>
              <w:right w:val="single" w:sz="4" w:space="0" w:color="000000"/>
            </w:tcBorders>
          </w:tcPr>
          <w:p w14:paraId="45BD37E5" w14:textId="77777777" w:rsidR="00EB038A" w:rsidRDefault="00EB038A">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r>
              <w:rPr>
                <w:position w:val="9"/>
                <w:sz w:val="12"/>
                <w:szCs w:val="12"/>
              </w:rPr>
              <w:t>a,b</w:t>
            </w:r>
          </w:p>
        </w:tc>
        <w:tc>
          <w:tcPr>
            <w:tcW w:w="2880" w:type="dxa"/>
            <w:tcBorders>
              <w:top w:val="single" w:sz="4" w:space="0" w:color="000000"/>
              <w:left w:val="single" w:sz="4" w:space="0" w:color="000000"/>
              <w:bottom w:val="single" w:sz="4" w:space="0" w:color="000000"/>
              <w:right w:val="single" w:sz="4" w:space="0" w:color="000000"/>
            </w:tcBorders>
          </w:tcPr>
          <w:p w14:paraId="071637F1"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0.32</w:t>
            </w:r>
          </w:p>
        </w:tc>
        <w:tc>
          <w:tcPr>
            <w:tcW w:w="1621" w:type="dxa"/>
            <w:tcBorders>
              <w:top w:val="single" w:sz="4" w:space="0" w:color="000000"/>
              <w:left w:val="single" w:sz="4" w:space="0" w:color="000000"/>
              <w:bottom w:val="single" w:sz="4" w:space="0" w:color="000000"/>
              <w:right w:val="single" w:sz="4" w:space="0" w:color="000000"/>
            </w:tcBorders>
          </w:tcPr>
          <w:p w14:paraId="7A6CD3AA"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3C012D06" w14:textId="77777777" w:rsidR="00EB038A" w:rsidRDefault="00EB038A">
            <w:pPr>
              <w:pStyle w:val="TableParagraph"/>
              <w:kinsoku w:val="0"/>
              <w:overflowPunct w:val="0"/>
              <w:spacing w:line="219" w:lineRule="exact"/>
              <w:ind w:left="153" w:right="154"/>
              <w:rPr>
                <w:rFonts w:ascii="Times New Roman" w:hAnsi="Times New Roman" w:cs="Times New Roman"/>
              </w:rPr>
            </w:pPr>
            <w:r>
              <w:rPr>
                <w:sz w:val="18"/>
                <w:szCs w:val="18"/>
              </w:rPr>
              <w:t>See footnotes a &amp; b</w:t>
            </w:r>
          </w:p>
        </w:tc>
      </w:tr>
      <w:tr w:rsidR="00EB038A" w14:paraId="350F8C35" w14:textId="77777777">
        <w:trPr>
          <w:trHeight w:hRule="exact" w:val="230"/>
        </w:trPr>
        <w:tc>
          <w:tcPr>
            <w:tcW w:w="1620" w:type="dxa"/>
            <w:tcBorders>
              <w:top w:val="single" w:sz="4" w:space="0" w:color="000000"/>
              <w:left w:val="single" w:sz="4" w:space="0" w:color="000000"/>
              <w:bottom w:val="single" w:sz="4" w:space="0" w:color="000000"/>
              <w:right w:val="single" w:sz="4" w:space="0" w:color="000000"/>
            </w:tcBorders>
          </w:tcPr>
          <w:p w14:paraId="07DFA46C" w14:textId="77777777" w:rsidR="00EB038A" w:rsidRDefault="00EB038A">
            <w:pPr>
              <w:pStyle w:val="TableParagraph"/>
              <w:kinsoku w:val="0"/>
              <w:overflowPunct w:val="0"/>
              <w:spacing w:line="219" w:lineRule="exact"/>
              <w:ind w:left="264"/>
              <w:jc w:val="left"/>
              <w:rPr>
                <w:rFonts w:ascii="Times New Roman" w:hAnsi="Times New Roman" w:cs="Times New Roman"/>
              </w:rPr>
            </w:pPr>
            <w:r>
              <w:rPr>
                <w:sz w:val="18"/>
                <w:szCs w:val="18"/>
              </w:rPr>
              <w:t>0.30 ≤ V &lt; 0.45</w:t>
            </w:r>
          </w:p>
        </w:tc>
        <w:tc>
          <w:tcPr>
            <w:tcW w:w="2070" w:type="dxa"/>
            <w:tcBorders>
              <w:top w:val="single" w:sz="4" w:space="0" w:color="000000"/>
              <w:left w:val="single" w:sz="4" w:space="0" w:color="000000"/>
              <w:bottom w:val="single" w:sz="4" w:space="0" w:color="000000"/>
              <w:right w:val="single" w:sz="4" w:space="0" w:color="000000"/>
            </w:tcBorders>
          </w:tcPr>
          <w:p w14:paraId="29B3810D" w14:textId="77777777" w:rsidR="00EB038A" w:rsidRDefault="00EB038A">
            <w:pPr>
              <w:pStyle w:val="TableParagraph"/>
              <w:kinsoku w:val="0"/>
              <w:overflowPunct w:val="0"/>
              <w:spacing w:line="219" w:lineRule="exact"/>
              <w:ind w:left="129" w:right="131"/>
              <w:rPr>
                <w:rFonts w:ascii="Times New Roman" w:hAnsi="Times New Roman" w:cs="Times New Roman"/>
              </w:rPr>
            </w:pPr>
            <w:r>
              <w:rPr>
                <w:sz w:val="18"/>
                <w:szCs w:val="18"/>
              </w:rPr>
              <w:t xml:space="preserve">Permissive Operation </w:t>
            </w:r>
            <w:r>
              <w:rPr>
                <w:position w:val="9"/>
                <w:sz w:val="12"/>
                <w:szCs w:val="12"/>
              </w:rPr>
              <w:t>b</w:t>
            </w:r>
          </w:p>
        </w:tc>
        <w:tc>
          <w:tcPr>
            <w:tcW w:w="2880" w:type="dxa"/>
            <w:tcBorders>
              <w:top w:val="single" w:sz="4" w:space="0" w:color="000000"/>
              <w:left w:val="single" w:sz="4" w:space="0" w:color="000000"/>
              <w:bottom w:val="single" w:sz="4" w:space="0" w:color="000000"/>
              <w:right w:val="single" w:sz="4" w:space="0" w:color="000000"/>
            </w:tcBorders>
          </w:tcPr>
          <w:p w14:paraId="666AA3F1" w14:textId="77777777" w:rsidR="00EB038A" w:rsidRDefault="00EB038A">
            <w:pPr>
              <w:pStyle w:val="TableParagraph"/>
              <w:kinsoku w:val="0"/>
              <w:overflowPunct w:val="0"/>
              <w:spacing w:line="219" w:lineRule="exact"/>
              <w:ind w:left="1156" w:right="1156"/>
              <w:rPr>
                <w:rFonts w:ascii="Times New Roman" w:hAnsi="Times New Roman" w:cs="Times New Roman"/>
              </w:rPr>
            </w:pPr>
            <w:r>
              <w:rPr>
                <w:sz w:val="18"/>
                <w:szCs w:val="18"/>
              </w:rPr>
              <w:t>0.16</w:t>
            </w:r>
          </w:p>
        </w:tc>
        <w:tc>
          <w:tcPr>
            <w:tcW w:w="1621" w:type="dxa"/>
            <w:tcBorders>
              <w:top w:val="single" w:sz="4" w:space="0" w:color="000000"/>
              <w:left w:val="single" w:sz="4" w:space="0" w:color="000000"/>
              <w:bottom w:val="single" w:sz="4" w:space="0" w:color="000000"/>
              <w:right w:val="single" w:sz="4" w:space="0" w:color="000000"/>
            </w:tcBorders>
          </w:tcPr>
          <w:p w14:paraId="242034B0"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N/A</w:t>
            </w:r>
          </w:p>
        </w:tc>
        <w:tc>
          <w:tcPr>
            <w:tcW w:w="1800" w:type="dxa"/>
            <w:tcBorders>
              <w:top w:val="single" w:sz="4" w:space="0" w:color="000000"/>
              <w:left w:val="single" w:sz="4" w:space="0" w:color="000000"/>
              <w:bottom w:val="single" w:sz="4" w:space="0" w:color="000000"/>
              <w:right w:val="single" w:sz="4" w:space="0" w:color="000000"/>
            </w:tcBorders>
          </w:tcPr>
          <w:p w14:paraId="0291F924" w14:textId="77777777" w:rsidR="00EB038A" w:rsidRDefault="00EB038A">
            <w:pPr>
              <w:pStyle w:val="TableParagraph"/>
              <w:kinsoku w:val="0"/>
              <w:overflowPunct w:val="0"/>
              <w:spacing w:line="219" w:lineRule="exact"/>
              <w:ind w:left="153" w:right="154"/>
              <w:rPr>
                <w:rFonts w:ascii="Times New Roman" w:hAnsi="Times New Roman" w:cs="Times New Roman"/>
              </w:rPr>
            </w:pPr>
            <w:r>
              <w:rPr>
                <w:sz w:val="18"/>
                <w:szCs w:val="18"/>
              </w:rPr>
              <w:t>See footnote b</w:t>
            </w:r>
          </w:p>
        </w:tc>
      </w:tr>
      <w:tr w:rsidR="00EB038A" w14:paraId="7B8DFE9C" w14:textId="77777777">
        <w:trPr>
          <w:trHeight w:hRule="exact" w:val="228"/>
        </w:trPr>
        <w:tc>
          <w:tcPr>
            <w:tcW w:w="1620" w:type="dxa"/>
            <w:tcBorders>
              <w:top w:val="single" w:sz="4" w:space="0" w:color="000000"/>
              <w:left w:val="single" w:sz="4" w:space="0" w:color="000000"/>
              <w:bottom w:val="single" w:sz="4" w:space="0" w:color="000000"/>
              <w:right w:val="single" w:sz="4" w:space="0" w:color="000000"/>
            </w:tcBorders>
          </w:tcPr>
          <w:p w14:paraId="30829497" w14:textId="77777777" w:rsidR="00EB038A" w:rsidRDefault="00EB038A">
            <w:pPr>
              <w:pStyle w:val="TableParagraph"/>
              <w:kinsoku w:val="0"/>
              <w:overflowPunct w:val="0"/>
              <w:spacing w:line="219" w:lineRule="exact"/>
              <w:ind w:left="509"/>
              <w:jc w:val="left"/>
              <w:rPr>
                <w:rFonts w:ascii="Times New Roman" w:hAnsi="Times New Roman" w:cs="Times New Roman"/>
              </w:rPr>
            </w:pPr>
            <w:r>
              <w:rPr>
                <w:sz w:val="18"/>
                <w:szCs w:val="18"/>
              </w:rPr>
              <w:t>V &lt; 0.30</w:t>
            </w:r>
          </w:p>
        </w:tc>
        <w:tc>
          <w:tcPr>
            <w:tcW w:w="2070" w:type="dxa"/>
            <w:tcBorders>
              <w:top w:val="single" w:sz="4" w:space="0" w:color="000000"/>
              <w:left w:val="single" w:sz="4" w:space="0" w:color="000000"/>
              <w:bottom w:val="single" w:sz="4" w:space="0" w:color="000000"/>
              <w:right w:val="single" w:sz="4" w:space="0" w:color="000000"/>
            </w:tcBorders>
          </w:tcPr>
          <w:p w14:paraId="1C8B2C57" w14:textId="77777777" w:rsidR="00EB038A" w:rsidRDefault="00EB038A">
            <w:pPr>
              <w:pStyle w:val="TableParagraph"/>
              <w:kinsoku w:val="0"/>
              <w:overflowPunct w:val="0"/>
              <w:spacing w:line="219" w:lineRule="exact"/>
              <w:ind w:left="129" w:right="129"/>
              <w:rPr>
                <w:rFonts w:ascii="Times New Roman" w:hAnsi="Times New Roman" w:cs="Times New Roman"/>
              </w:rPr>
            </w:pPr>
            <w:r>
              <w:rPr>
                <w:sz w:val="18"/>
                <w:szCs w:val="18"/>
              </w:rPr>
              <w:t>Cease to Energize</w:t>
            </w:r>
          </w:p>
        </w:tc>
        <w:tc>
          <w:tcPr>
            <w:tcW w:w="2880" w:type="dxa"/>
            <w:tcBorders>
              <w:top w:val="single" w:sz="4" w:space="0" w:color="000000"/>
              <w:left w:val="single" w:sz="4" w:space="0" w:color="000000"/>
              <w:bottom w:val="single" w:sz="4" w:space="0" w:color="000000"/>
              <w:right w:val="single" w:sz="4" w:space="0" w:color="000000"/>
            </w:tcBorders>
          </w:tcPr>
          <w:p w14:paraId="2230C406" w14:textId="77777777" w:rsidR="00EB038A" w:rsidRDefault="00EB038A">
            <w:pPr>
              <w:pStyle w:val="TableParagraph"/>
              <w:kinsoku w:val="0"/>
              <w:overflowPunct w:val="0"/>
              <w:spacing w:line="219" w:lineRule="exact"/>
              <w:ind w:left="1154" w:right="1156"/>
              <w:rPr>
                <w:rFonts w:ascii="Times New Roman" w:hAnsi="Times New Roman" w:cs="Times New Roman"/>
              </w:rPr>
            </w:pPr>
            <w:r>
              <w:rPr>
                <w:sz w:val="18"/>
                <w:szCs w:val="18"/>
              </w:rPr>
              <w:t>N/A</w:t>
            </w:r>
          </w:p>
        </w:tc>
        <w:tc>
          <w:tcPr>
            <w:tcW w:w="1621" w:type="dxa"/>
            <w:tcBorders>
              <w:top w:val="single" w:sz="4" w:space="0" w:color="000000"/>
              <w:left w:val="single" w:sz="4" w:space="0" w:color="000000"/>
              <w:bottom w:val="single" w:sz="4" w:space="0" w:color="000000"/>
              <w:right w:val="single" w:sz="4" w:space="0" w:color="000000"/>
            </w:tcBorders>
          </w:tcPr>
          <w:p w14:paraId="43DCD96B" w14:textId="77777777" w:rsidR="00EB038A" w:rsidRDefault="00EB038A">
            <w:pPr>
              <w:pStyle w:val="TableParagraph"/>
              <w:kinsoku w:val="0"/>
              <w:overflowPunct w:val="0"/>
              <w:spacing w:line="219" w:lineRule="exact"/>
              <w:ind w:left="625" w:right="625"/>
              <w:rPr>
                <w:rFonts w:ascii="Times New Roman" w:hAnsi="Times New Roman" w:cs="Times New Roman"/>
              </w:rPr>
            </w:pPr>
            <w:r>
              <w:rPr>
                <w:sz w:val="18"/>
                <w:szCs w:val="18"/>
              </w:rPr>
              <w:t>0.16</w:t>
            </w:r>
          </w:p>
        </w:tc>
        <w:tc>
          <w:tcPr>
            <w:tcW w:w="1800" w:type="dxa"/>
            <w:tcBorders>
              <w:top w:val="single" w:sz="4" w:space="0" w:color="000000"/>
              <w:left w:val="single" w:sz="4" w:space="0" w:color="000000"/>
              <w:bottom w:val="single" w:sz="4" w:space="0" w:color="000000"/>
              <w:right w:val="single" w:sz="4" w:space="0" w:color="000000"/>
            </w:tcBorders>
          </w:tcPr>
          <w:p w14:paraId="0A8DC367" w14:textId="77777777" w:rsidR="00EB038A" w:rsidRDefault="00EB038A">
            <w:pPr>
              <w:pStyle w:val="TableParagraph"/>
              <w:kinsoku w:val="0"/>
              <w:overflowPunct w:val="0"/>
              <w:spacing w:line="219" w:lineRule="exact"/>
              <w:ind w:left="153" w:right="153"/>
              <w:rPr>
                <w:rFonts w:ascii="Times New Roman" w:hAnsi="Times New Roman" w:cs="Times New Roman"/>
              </w:rPr>
            </w:pPr>
            <w:r>
              <w:rPr>
                <w:sz w:val="18"/>
                <w:szCs w:val="18"/>
              </w:rPr>
              <w:t>Identical</w:t>
            </w:r>
          </w:p>
        </w:tc>
      </w:tr>
    </w:tbl>
    <w:p w14:paraId="116DAFB8" w14:textId="77777777" w:rsidR="00EB038A" w:rsidRDefault="00EB038A" w:rsidP="00EB038A">
      <w:pPr>
        <w:pStyle w:val="BodyText"/>
        <w:kinsoku w:val="0"/>
        <w:overflowPunct w:val="0"/>
        <w:rPr>
          <w:rFonts w:ascii="Times New Roman" w:hAnsi="Times New Roman" w:cs="Times New Roman"/>
          <w:sz w:val="20"/>
          <w:szCs w:val="20"/>
        </w:rPr>
      </w:pPr>
      <w:r>
        <w:rPr>
          <w:rFonts w:ascii="Times New Roman" w:hAnsi="Times New Roman" w:cs="Times New Roman"/>
          <w:noProof/>
          <w:sz w:val="20"/>
          <w:szCs w:val="20"/>
        </w:rPr>
        <mc:AlternateContent>
          <mc:Choice Requires="wps">
            <w:drawing>
              <wp:inline distT="0" distB="0" distL="0" distR="0" wp14:anchorId="42741269" wp14:editId="79F319B0">
                <wp:extent cx="280670" cy="12700"/>
                <wp:effectExtent l="9525" t="9525" r="5080" b="0"/>
                <wp:docPr id="8"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80670" cy="12700"/>
                        </a:xfrm>
                        <a:custGeom>
                          <a:avLst/>
                          <a:gdLst>
                            <a:gd name="T0" fmla="*/ 0 w 442"/>
                            <a:gd name="T1" fmla="*/ 0 h 20"/>
                            <a:gd name="T2" fmla="*/ 441 w 442"/>
                            <a:gd name="T3" fmla="*/ 0 h 20"/>
                          </a:gdLst>
                          <a:ahLst/>
                          <a:cxnLst>
                            <a:cxn ang="0">
                              <a:pos x="T0" y="T1"/>
                            </a:cxn>
                            <a:cxn ang="0">
                              <a:pos x="T2" y="T3"/>
                            </a:cxn>
                          </a:cxnLst>
                          <a:rect l="0" t="0" r="r" b="b"/>
                          <a:pathLst>
                            <a:path w="442" h="20">
                              <a:moveTo>
                                <a:pt x="0" y="0"/>
                              </a:moveTo>
                              <a:lnTo>
                                <a:pt x="441" y="0"/>
                              </a:lnTo>
                            </a:path>
                          </a:pathLst>
                        </a:custGeom>
                        <a:noFill/>
                        <a:ln w="761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inline>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polyline w14:anchorId="1175FC61" id="Freeform 8" o:spid="_x0000_s1026" style="visibility:visible;mso-wrap-style:square;mso-left-percent:-10001;mso-top-percent:-10001;mso-position-horizontal:absolute;mso-position-horizontal-relative:char;mso-position-vertical:absolute;mso-position-vertical-relative:line;mso-left-percent:-10001;mso-top-percent:-10001;v-text-anchor:top" points="0,0,22.05pt,0" coordsize="44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nXK9wIAAIYGAAAOAAAAZHJzL2Uyb0RvYy54bWysVdtu2zAMfR+wfxD0OCD1pW5uqFMUSTMM&#10;6LYCzT5AkeXYmCx5khKnG/bvI2U7ddoNGIb5waFMijw8vOT65lhJchDGllqlNLoIKRGK66xUu5R+&#10;2axHU0qsYypjUiuR0idh6c3i7Zvrpp6LWBdaZsIQcKLsvKlTWjhXz4PA8kJUzF7oWihQ5tpUzMHR&#10;7ILMsAa8VzKIw3AcNNpktdFcWAtfV62SLrz/PBfcfc5zKxyRKQVszr+Nf2/xHSyu2XxnWF2UvIPB&#10;/gFFxUoFQU+uVswxsjflK1dVyY22OncXXFeBzvOSC58DZBOFL7J5LFgtfC5Ajq1PNNn/55Z/OjwY&#10;UmYphUIpVkGJ1kYIJJxMkZ2mtnMweqwfDOZn63vNv1pQBGcaPFiwIdvmo87AC9s77Rk55qbCm5Ar&#10;OXrin07Ei6MjHD7G03A8gfJwUEXxJPR1Cdi8v8v31r0X2vthh3vr2rJlIHnSsw76BnzklYQKvgtI&#10;SBqSJHFX4pNJdGZSkLhvgpNFPLBIkuj3bi4HRiHp3QDmXY+KFT1QflQdUpAIw9EIPTe1tsgJwobM&#10;NxFiBRdghWn9wRjgofHl0Li91AUx0PUv+91QAv2+bcmomUNsGANF0qQUiSIFVKIFVumD2Ghv4F5U&#10;DUI9a6UaWgFZHltfvlYLFzCKz+wUGQEPiqr0upTSV1UqxDMZRzNPkdWyzFCJYKzZbZfSkAPDcfZP&#10;x8KZmdF7lXlnhWDZXSc7VspWhuDSMwz91/GAnejn9ccsnN1N76bJKInHd6MkXK1Gt+tlMhqvo8nV&#10;6nK1XK6inwgtSuZFmWVCIbp+d0TJ381mt8XaqT9tj7MszpJd++d1ssE5DE8y5NL/+uz8pOJwttO8&#10;1dkTDKrR7TKE5Q1Coc13ShpYhCm13/bMCErkBwWbZhYlCW5Of0iuJtAhxAw126GGKQ6uUuoo9DmK&#10;S9du231tyl0BkSJfVqVvYUHkJU6yx9ei6g6w7HwG3WLGbTo8e6vnv4/FLwAAAP//AwBQSwMEFAAG&#10;AAgAAAAhAP+kMhzYAAAAAgEAAA8AAABkcnMvZG93bnJldi54bWxMj09LxDAQxe+C3yGM4M1NLF1d&#10;atNFRfHcquhxthnbss2kNNn++fZGL3oZeLzHe7/J94vtxUSj7xxruN4oEMS1Mx03Gt5en692IHxA&#10;Ntg7Jg0redgX52c5ZsbNXNJUhUbEEvYZamhDGDIpfd2SRb9xA3H0vtxoMUQ5NtKMOMdy28tEqRtp&#10;seO40OJAjy3Vx+pkNdyq92pKd/KpXD/lxzq/PBy321Lry4vl/g5EoCX8heEHP6JDEZkO7sTGi15D&#10;fCT83uilaQLioCFRIItc/kcvvgEAAP//AwBQSwECLQAUAAYACAAAACEAtoM4kv4AAADhAQAAEwAA&#10;AAAAAAAAAAAAAAAAAAAAW0NvbnRlbnRfVHlwZXNdLnhtbFBLAQItABQABgAIAAAAIQA4/SH/1gAA&#10;AJQBAAALAAAAAAAAAAAAAAAAAC8BAABfcmVscy8ucmVsc1BLAQItABQABgAIAAAAIQAvBnXK9wIA&#10;AIYGAAAOAAAAAAAAAAAAAAAAAC4CAABkcnMvZTJvRG9jLnhtbFBLAQItABQABgAIAAAAIQD/pDIc&#10;2AAAAAIBAAAPAAAAAAAAAAAAAAAAAFEFAABkcnMvZG93bnJldi54bWxQSwUGAAAAAAQABADzAAAA&#10;VgYAAAAA&#10;" filled="f" strokeweight=".21164mm">
                <v:path arrowok="t" o:connecttype="custom" o:connectlocs="0,0;280035,0" o:connectangles="0,0"/>
                <w10:anchorlock/>
              </v:polyline>
            </w:pict>
          </mc:Fallback>
        </mc:AlternateContent>
      </w:r>
    </w:p>
    <w:p w14:paraId="37FAE1DD" w14:textId="77777777" w:rsidR="00EB038A" w:rsidRDefault="00EB038A" w:rsidP="00EB038A">
      <w:pPr>
        <w:pStyle w:val="BodyText"/>
        <w:kinsoku w:val="0"/>
        <w:overflowPunct w:val="0"/>
        <w:spacing w:before="92"/>
        <w:ind w:left="190"/>
      </w:pPr>
      <w:r>
        <w:t>The following additional operational requirements shall apply for all inverters:</w:t>
      </w:r>
    </w:p>
    <w:p w14:paraId="2EB7A1B8" w14:textId="77777777" w:rsidR="00EB038A" w:rsidRDefault="00EB038A" w:rsidP="00EB038A">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sz w:val="14"/>
          <w:szCs w:val="14"/>
        </w:rPr>
      </w:pPr>
      <w:r>
        <w:rPr>
          <w:sz w:val="14"/>
          <w:szCs w:val="14"/>
        </w:rPr>
        <w:t>In the Permissive Operation region above 0.5 p.u., inverters shall ride-through in Mandatory Operation mode,</w:t>
      </w:r>
      <w:r>
        <w:rPr>
          <w:spacing w:val="-2"/>
          <w:sz w:val="14"/>
          <w:szCs w:val="14"/>
        </w:rPr>
        <w:t xml:space="preserve"> </w:t>
      </w:r>
      <w:r>
        <w:rPr>
          <w:sz w:val="14"/>
          <w:szCs w:val="14"/>
        </w:rPr>
        <w:t>and</w:t>
      </w:r>
    </w:p>
    <w:p w14:paraId="55C3DFCB" w14:textId="77777777" w:rsidR="00EB038A" w:rsidRDefault="00EB038A" w:rsidP="00EB038A">
      <w:pPr>
        <w:pStyle w:val="ListParagraph"/>
        <w:numPr>
          <w:ilvl w:val="0"/>
          <w:numId w:val="19"/>
        </w:numPr>
        <w:tabs>
          <w:tab w:val="left" w:pos="572"/>
        </w:tabs>
        <w:kinsoku w:val="0"/>
        <w:overflowPunct w:val="0"/>
        <w:autoSpaceDE w:val="0"/>
        <w:autoSpaceDN w:val="0"/>
        <w:adjustRightInd w:val="0"/>
        <w:spacing w:before="97" w:after="0" w:line="240" w:lineRule="auto"/>
        <w:contextualSpacing w:val="0"/>
        <w:rPr>
          <w:sz w:val="14"/>
          <w:szCs w:val="14"/>
        </w:rPr>
      </w:pPr>
      <w:r>
        <w:rPr>
          <w:sz w:val="14"/>
          <w:szCs w:val="14"/>
        </w:rPr>
        <w:t>In the Permissive Operation region below 0.5 p.u., inverters shall ride-through in Momentary Cessation mode with a maximum response time of 0.083</w:t>
      </w:r>
      <w:r>
        <w:rPr>
          <w:spacing w:val="-3"/>
          <w:sz w:val="14"/>
          <w:szCs w:val="14"/>
        </w:rPr>
        <w:t xml:space="preserve"> </w:t>
      </w:r>
      <w:r>
        <w:rPr>
          <w:sz w:val="14"/>
          <w:szCs w:val="14"/>
        </w:rPr>
        <w:t>seconds.</w:t>
      </w:r>
    </w:p>
    <w:p w14:paraId="566D4151" w14:textId="77777777" w:rsidR="003762B7" w:rsidRDefault="003762B7" w:rsidP="003762B7">
      <w:pPr>
        <w:pStyle w:val="BodyText"/>
        <w:kinsoku w:val="0"/>
        <w:overflowPunct w:val="0"/>
        <w:spacing w:before="4"/>
        <w:ind w:left="571"/>
        <w:rPr>
          <w:rFonts w:ascii="Times New Roman" w:hAnsi="Times New Roman" w:cs="Times New Roman"/>
          <w:b/>
          <w:bCs/>
          <w:sz w:val="17"/>
          <w:szCs w:val="17"/>
        </w:rPr>
      </w:pPr>
    </w:p>
    <w:p w14:paraId="386FA0B6" w14:textId="77777777" w:rsidR="003762B7" w:rsidRPr="003762B7" w:rsidRDefault="003762B7" w:rsidP="003762B7">
      <w:pPr>
        <w:pStyle w:val="BodyText"/>
        <w:kinsoku w:val="0"/>
        <w:overflowPunct w:val="0"/>
        <w:spacing w:before="17"/>
        <w:ind w:left="571"/>
        <w:jc w:val="center"/>
        <w:rPr>
          <w:b/>
        </w:rPr>
      </w:pPr>
      <w:r w:rsidRPr="003762B7">
        <w:rPr>
          <w:b/>
        </w:rPr>
        <w:t>Table IV: Inverters’ Frequency Ride-through Capability</w:t>
      </w:r>
    </w:p>
    <w:p w14:paraId="2D752941" w14:textId="77777777" w:rsidR="003762B7" w:rsidRDefault="003762B7" w:rsidP="003762B7">
      <w:pPr>
        <w:pStyle w:val="BodyText"/>
        <w:kinsoku w:val="0"/>
        <w:overflowPunct w:val="0"/>
        <w:spacing w:before="5"/>
        <w:ind w:left="571"/>
        <w:rPr>
          <w:sz w:val="13"/>
          <w:szCs w:val="13"/>
        </w:rPr>
      </w:pPr>
    </w:p>
    <w:tbl>
      <w:tblPr>
        <w:tblW w:w="0" w:type="auto"/>
        <w:tblInd w:w="381" w:type="dxa"/>
        <w:tblLayout w:type="fixed"/>
        <w:tblCellMar>
          <w:left w:w="0" w:type="dxa"/>
          <w:right w:w="0" w:type="dxa"/>
        </w:tblCellMar>
        <w:tblLook w:val="0000" w:firstRow="0" w:lastRow="0" w:firstColumn="0" w:lastColumn="0" w:noHBand="0" w:noVBand="0"/>
      </w:tblPr>
      <w:tblGrid>
        <w:gridCol w:w="2696"/>
        <w:gridCol w:w="2184"/>
        <w:gridCol w:w="2340"/>
        <w:gridCol w:w="1801"/>
      </w:tblGrid>
      <w:tr w:rsidR="003762B7" w14:paraId="12885A36" w14:textId="77777777">
        <w:trPr>
          <w:trHeight w:hRule="exact" w:val="888"/>
        </w:trPr>
        <w:tc>
          <w:tcPr>
            <w:tcW w:w="2696" w:type="dxa"/>
            <w:tcBorders>
              <w:top w:val="single" w:sz="4" w:space="0" w:color="000000"/>
              <w:left w:val="single" w:sz="4" w:space="0" w:color="000000"/>
              <w:bottom w:val="single" w:sz="4" w:space="0" w:color="000000"/>
              <w:right w:val="single" w:sz="4" w:space="0" w:color="000000"/>
            </w:tcBorders>
            <w:shd w:val="clear" w:color="auto" w:fill="BEBEBE"/>
          </w:tcPr>
          <w:p w14:paraId="02BC72DE" w14:textId="77777777" w:rsidR="003762B7" w:rsidRDefault="003762B7">
            <w:pPr>
              <w:pStyle w:val="TableParagraph"/>
              <w:kinsoku w:val="0"/>
              <w:overflowPunct w:val="0"/>
              <w:spacing w:before="9"/>
              <w:jc w:val="left"/>
              <w:rPr>
                <w:b/>
                <w:bCs/>
                <w:sz w:val="17"/>
                <w:szCs w:val="17"/>
              </w:rPr>
            </w:pPr>
          </w:p>
          <w:p w14:paraId="128F505F" w14:textId="77777777" w:rsidR="003762B7" w:rsidRDefault="003762B7">
            <w:pPr>
              <w:pStyle w:val="TableParagraph"/>
              <w:kinsoku w:val="0"/>
              <w:overflowPunct w:val="0"/>
              <w:spacing w:before="1"/>
              <w:ind w:left="1192" w:right="684" w:hanging="492"/>
              <w:jc w:val="left"/>
              <w:rPr>
                <w:rFonts w:ascii="Times New Roman" w:hAnsi="Times New Roman" w:cs="Times New Roman"/>
              </w:rPr>
            </w:pPr>
            <w:r>
              <w:rPr>
                <w:b/>
                <w:bCs/>
                <w:sz w:val="18"/>
                <w:szCs w:val="18"/>
              </w:rPr>
              <w:t>Frequency Range (Hz)</w:t>
            </w:r>
          </w:p>
        </w:tc>
        <w:tc>
          <w:tcPr>
            <w:tcW w:w="2184" w:type="dxa"/>
            <w:tcBorders>
              <w:top w:val="single" w:sz="4" w:space="0" w:color="000000"/>
              <w:left w:val="single" w:sz="4" w:space="0" w:color="000000"/>
              <w:bottom w:val="single" w:sz="4" w:space="0" w:color="000000"/>
              <w:right w:val="single" w:sz="4" w:space="0" w:color="000000"/>
            </w:tcBorders>
            <w:shd w:val="clear" w:color="auto" w:fill="BEBEBE"/>
          </w:tcPr>
          <w:p w14:paraId="1F0AF5F4" w14:textId="77777777" w:rsidR="003762B7" w:rsidRDefault="003762B7">
            <w:pPr>
              <w:pStyle w:val="TableParagraph"/>
              <w:kinsoku w:val="0"/>
              <w:overflowPunct w:val="0"/>
              <w:spacing w:before="10"/>
              <w:jc w:val="left"/>
              <w:rPr>
                <w:b/>
                <w:bCs/>
                <w:sz w:val="26"/>
                <w:szCs w:val="26"/>
              </w:rPr>
            </w:pPr>
          </w:p>
          <w:p w14:paraId="028A46EB" w14:textId="77777777" w:rsidR="003762B7" w:rsidRDefault="003762B7">
            <w:pPr>
              <w:pStyle w:val="TableParagraph"/>
              <w:kinsoku w:val="0"/>
              <w:overflowPunct w:val="0"/>
              <w:ind w:left="256" w:right="257"/>
              <w:rPr>
                <w:rFonts w:ascii="Times New Roman" w:hAnsi="Times New Roman" w:cs="Times New Roman"/>
              </w:rPr>
            </w:pPr>
            <w:r>
              <w:rPr>
                <w:b/>
                <w:bCs/>
                <w:sz w:val="18"/>
                <w:szCs w:val="18"/>
              </w:rPr>
              <w:t>Operating Mode</w:t>
            </w:r>
          </w:p>
        </w:tc>
        <w:tc>
          <w:tcPr>
            <w:tcW w:w="2340" w:type="dxa"/>
            <w:tcBorders>
              <w:top w:val="single" w:sz="4" w:space="0" w:color="000000"/>
              <w:left w:val="single" w:sz="4" w:space="0" w:color="000000"/>
              <w:bottom w:val="single" w:sz="4" w:space="0" w:color="000000"/>
              <w:right w:val="single" w:sz="4" w:space="0" w:color="000000"/>
            </w:tcBorders>
            <w:shd w:val="clear" w:color="auto" w:fill="BEBEBE"/>
          </w:tcPr>
          <w:p w14:paraId="0DCF5E78" w14:textId="77777777" w:rsidR="003762B7" w:rsidRDefault="003762B7">
            <w:pPr>
              <w:pStyle w:val="TableParagraph"/>
              <w:kinsoku w:val="0"/>
              <w:overflowPunct w:val="0"/>
              <w:spacing w:before="9"/>
              <w:jc w:val="left"/>
              <w:rPr>
                <w:b/>
                <w:bCs/>
                <w:sz w:val="17"/>
                <w:szCs w:val="17"/>
              </w:rPr>
            </w:pPr>
          </w:p>
          <w:p w14:paraId="6767E4CE" w14:textId="77777777" w:rsidR="003762B7" w:rsidRDefault="003762B7">
            <w:pPr>
              <w:pStyle w:val="TableParagraph"/>
              <w:kinsoku w:val="0"/>
              <w:overflowPunct w:val="0"/>
              <w:spacing w:before="1"/>
              <w:ind w:left="578" w:right="483" w:hanging="77"/>
              <w:jc w:val="left"/>
              <w:rPr>
                <w:rFonts w:ascii="Times New Roman" w:hAnsi="Times New Roman" w:cs="Times New Roman"/>
              </w:rPr>
            </w:pPr>
            <w:r>
              <w:rPr>
                <w:b/>
                <w:bCs/>
                <w:sz w:val="18"/>
                <w:szCs w:val="18"/>
              </w:rPr>
              <w:t>Minimum Time(s) (design criteria)</w:t>
            </w:r>
          </w:p>
        </w:tc>
        <w:tc>
          <w:tcPr>
            <w:tcW w:w="1801" w:type="dxa"/>
            <w:tcBorders>
              <w:top w:val="single" w:sz="4" w:space="0" w:color="000000"/>
              <w:left w:val="single" w:sz="4" w:space="0" w:color="000000"/>
              <w:bottom w:val="single" w:sz="4" w:space="0" w:color="000000"/>
              <w:right w:val="single" w:sz="4" w:space="0" w:color="000000"/>
            </w:tcBorders>
            <w:shd w:val="clear" w:color="auto" w:fill="BEBEBE"/>
          </w:tcPr>
          <w:p w14:paraId="17C1A10F" w14:textId="77777777" w:rsidR="003762B7" w:rsidRDefault="003762B7">
            <w:pPr>
              <w:pStyle w:val="TableParagraph"/>
              <w:kinsoku w:val="0"/>
              <w:overflowPunct w:val="0"/>
              <w:ind w:left="170" w:right="169"/>
              <w:rPr>
                <w:b/>
                <w:bCs/>
                <w:sz w:val="18"/>
                <w:szCs w:val="18"/>
              </w:rPr>
            </w:pPr>
            <w:r>
              <w:rPr>
                <w:b/>
                <w:bCs/>
                <w:sz w:val="18"/>
                <w:szCs w:val="18"/>
              </w:rPr>
              <w:t>Comparison to IEEE Std 1547-2018</w:t>
            </w:r>
          </w:p>
          <w:p w14:paraId="7A4C7757" w14:textId="77777777" w:rsidR="003762B7" w:rsidRDefault="003762B7">
            <w:pPr>
              <w:pStyle w:val="TableParagraph"/>
              <w:kinsoku w:val="0"/>
              <w:overflowPunct w:val="0"/>
              <w:spacing w:before="1" w:line="221" w:lineRule="exact"/>
              <w:ind w:left="591"/>
              <w:jc w:val="left"/>
              <w:rPr>
                <w:b/>
                <w:bCs/>
                <w:sz w:val="18"/>
                <w:szCs w:val="18"/>
              </w:rPr>
            </w:pPr>
            <w:r>
              <w:rPr>
                <w:b/>
                <w:bCs/>
                <w:sz w:val="18"/>
                <w:szCs w:val="18"/>
              </w:rPr>
              <w:t>(2</w:t>
            </w:r>
            <w:r>
              <w:rPr>
                <w:b/>
                <w:bCs/>
                <w:position w:val="9"/>
                <w:sz w:val="12"/>
                <w:szCs w:val="12"/>
              </w:rPr>
              <w:t xml:space="preserve">nd </w:t>
            </w:r>
            <w:r>
              <w:rPr>
                <w:b/>
                <w:bCs/>
                <w:sz w:val="18"/>
                <w:szCs w:val="18"/>
              </w:rPr>
              <w:t>ed.)</w:t>
            </w:r>
          </w:p>
          <w:p w14:paraId="628B3BF7" w14:textId="77777777" w:rsidR="003762B7" w:rsidRDefault="003762B7">
            <w:pPr>
              <w:pStyle w:val="TableParagraph"/>
              <w:kinsoku w:val="0"/>
              <w:overflowPunct w:val="0"/>
              <w:spacing w:before="1"/>
              <w:ind w:left="168" w:right="169"/>
              <w:rPr>
                <w:rFonts w:ascii="Times New Roman" w:hAnsi="Times New Roman" w:cs="Times New Roman"/>
              </w:rPr>
            </w:pPr>
            <w:r>
              <w:rPr>
                <w:b/>
                <w:bCs/>
                <w:sz w:val="18"/>
                <w:szCs w:val="18"/>
              </w:rPr>
              <w:t>for Category II</w:t>
            </w:r>
          </w:p>
        </w:tc>
      </w:tr>
      <w:tr w:rsidR="003762B7" w14:paraId="5A02AD0D" w14:textId="77777777">
        <w:trPr>
          <w:trHeight w:hRule="exact" w:val="230"/>
        </w:trPr>
        <w:tc>
          <w:tcPr>
            <w:tcW w:w="2696" w:type="dxa"/>
            <w:tcBorders>
              <w:top w:val="single" w:sz="4" w:space="0" w:color="000000"/>
              <w:left w:val="single" w:sz="4" w:space="0" w:color="000000"/>
              <w:bottom w:val="single" w:sz="4" w:space="0" w:color="000000"/>
              <w:right w:val="single" w:sz="4" w:space="0" w:color="000000"/>
            </w:tcBorders>
          </w:tcPr>
          <w:p w14:paraId="13F9772D" w14:textId="77777777" w:rsidR="003762B7" w:rsidRDefault="003762B7">
            <w:pPr>
              <w:pStyle w:val="TableParagraph"/>
              <w:kinsoku w:val="0"/>
              <w:overflowPunct w:val="0"/>
              <w:ind w:left="805" w:right="805"/>
              <w:rPr>
                <w:rFonts w:ascii="Times New Roman" w:hAnsi="Times New Roman" w:cs="Times New Roman"/>
              </w:rPr>
            </w:pPr>
            <w:r>
              <w:rPr>
                <w:sz w:val="18"/>
                <w:szCs w:val="18"/>
              </w:rPr>
              <w:t>f &gt; 62.0</w:t>
            </w:r>
          </w:p>
        </w:tc>
        <w:tc>
          <w:tcPr>
            <w:tcW w:w="4524" w:type="dxa"/>
            <w:gridSpan w:val="2"/>
            <w:tcBorders>
              <w:top w:val="single" w:sz="4" w:space="0" w:color="000000"/>
              <w:left w:val="single" w:sz="4" w:space="0" w:color="000000"/>
              <w:bottom w:val="single" w:sz="4" w:space="0" w:color="000000"/>
              <w:right w:val="single" w:sz="4" w:space="0" w:color="000000"/>
            </w:tcBorders>
          </w:tcPr>
          <w:p w14:paraId="645DBD9B" w14:textId="77777777" w:rsidR="003762B7" w:rsidRDefault="003762B7">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7B3FCF5A"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r w:rsidR="003762B7" w14:paraId="66CC9DDB" w14:textId="77777777">
        <w:trPr>
          <w:trHeight w:hRule="exact" w:val="238"/>
        </w:trPr>
        <w:tc>
          <w:tcPr>
            <w:tcW w:w="2696" w:type="dxa"/>
            <w:tcBorders>
              <w:top w:val="single" w:sz="4" w:space="0" w:color="000000"/>
              <w:left w:val="single" w:sz="4" w:space="0" w:color="000000"/>
              <w:bottom w:val="double" w:sz="4" w:space="0" w:color="000000"/>
              <w:right w:val="single" w:sz="4" w:space="0" w:color="000000"/>
            </w:tcBorders>
          </w:tcPr>
          <w:p w14:paraId="33B5A138" w14:textId="77777777" w:rsidR="003762B7" w:rsidRDefault="003762B7">
            <w:pPr>
              <w:pStyle w:val="TableParagraph"/>
              <w:kinsoku w:val="0"/>
              <w:overflowPunct w:val="0"/>
              <w:ind w:left="805" w:right="805"/>
              <w:rPr>
                <w:rFonts w:ascii="Times New Roman" w:hAnsi="Times New Roman" w:cs="Times New Roman"/>
              </w:rPr>
            </w:pPr>
            <w:r>
              <w:rPr>
                <w:sz w:val="18"/>
                <w:szCs w:val="18"/>
              </w:rPr>
              <w:t>61.2 &lt; f ≤ 61.8</w:t>
            </w:r>
          </w:p>
        </w:tc>
        <w:tc>
          <w:tcPr>
            <w:tcW w:w="2184" w:type="dxa"/>
            <w:tcBorders>
              <w:top w:val="single" w:sz="4" w:space="0" w:color="000000"/>
              <w:left w:val="single" w:sz="4" w:space="0" w:color="000000"/>
              <w:bottom w:val="double" w:sz="4" w:space="0" w:color="000000"/>
              <w:right w:val="single" w:sz="4" w:space="0" w:color="000000"/>
            </w:tcBorders>
          </w:tcPr>
          <w:p w14:paraId="59F69E7C" w14:textId="77777777" w:rsidR="003762B7" w:rsidRDefault="003762B7">
            <w:pPr>
              <w:pStyle w:val="TableParagraph"/>
              <w:kinsoku w:val="0"/>
              <w:overflowPunct w:val="0"/>
              <w:ind w:left="256" w:right="257"/>
              <w:rPr>
                <w:rFonts w:ascii="Times New Roman" w:hAnsi="Times New Roman" w:cs="Times New Roman"/>
              </w:rPr>
            </w:pPr>
            <w:r>
              <w:rPr>
                <w:sz w:val="18"/>
                <w:szCs w:val="18"/>
              </w:rPr>
              <w:t>Mandatory Operation</w:t>
            </w:r>
          </w:p>
        </w:tc>
        <w:tc>
          <w:tcPr>
            <w:tcW w:w="2340" w:type="dxa"/>
            <w:tcBorders>
              <w:top w:val="single" w:sz="4" w:space="0" w:color="000000"/>
              <w:left w:val="single" w:sz="4" w:space="0" w:color="000000"/>
              <w:bottom w:val="double" w:sz="4" w:space="0" w:color="000000"/>
              <w:right w:val="single" w:sz="4" w:space="0" w:color="000000"/>
            </w:tcBorders>
          </w:tcPr>
          <w:p w14:paraId="652ADD47" w14:textId="77777777" w:rsidR="003762B7" w:rsidRDefault="003762B7">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single" w:sz="4" w:space="0" w:color="000000"/>
              <w:left w:val="single" w:sz="4" w:space="0" w:color="000000"/>
              <w:bottom w:val="double" w:sz="4" w:space="0" w:color="000000"/>
              <w:right w:val="single" w:sz="4" w:space="0" w:color="000000"/>
            </w:tcBorders>
          </w:tcPr>
          <w:p w14:paraId="3877CBA7"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r w:rsidR="003762B7" w14:paraId="0181587E" w14:textId="77777777">
        <w:trPr>
          <w:trHeight w:hRule="exact" w:val="252"/>
        </w:trPr>
        <w:tc>
          <w:tcPr>
            <w:tcW w:w="2696" w:type="dxa"/>
            <w:tcBorders>
              <w:top w:val="double" w:sz="4" w:space="0" w:color="000000"/>
              <w:left w:val="single" w:sz="4" w:space="0" w:color="000000"/>
              <w:bottom w:val="double" w:sz="4" w:space="0" w:color="000000"/>
              <w:right w:val="single" w:sz="4" w:space="0" w:color="000000"/>
            </w:tcBorders>
          </w:tcPr>
          <w:p w14:paraId="52D0D2BE" w14:textId="77777777" w:rsidR="003762B7" w:rsidRDefault="003762B7">
            <w:pPr>
              <w:pStyle w:val="TableParagraph"/>
              <w:kinsoku w:val="0"/>
              <w:overflowPunct w:val="0"/>
              <w:spacing w:before="1"/>
              <w:ind w:left="805" w:right="805"/>
              <w:rPr>
                <w:rFonts w:ascii="Times New Roman" w:hAnsi="Times New Roman" w:cs="Times New Roman"/>
              </w:rPr>
            </w:pPr>
            <w:r>
              <w:rPr>
                <w:sz w:val="18"/>
                <w:szCs w:val="18"/>
              </w:rPr>
              <w:t>58.8 ≤ f ≤ 61.2</w:t>
            </w:r>
          </w:p>
        </w:tc>
        <w:tc>
          <w:tcPr>
            <w:tcW w:w="2184" w:type="dxa"/>
            <w:tcBorders>
              <w:top w:val="double" w:sz="4" w:space="0" w:color="000000"/>
              <w:left w:val="single" w:sz="4" w:space="0" w:color="000000"/>
              <w:bottom w:val="double" w:sz="4" w:space="0" w:color="000000"/>
              <w:right w:val="single" w:sz="4" w:space="0" w:color="000000"/>
            </w:tcBorders>
          </w:tcPr>
          <w:p w14:paraId="3031AA5A" w14:textId="77777777" w:rsidR="003762B7" w:rsidRDefault="003762B7">
            <w:pPr>
              <w:pStyle w:val="TableParagraph"/>
              <w:kinsoku w:val="0"/>
              <w:overflowPunct w:val="0"/>
              <w:spacing w:before="1"/>
              <w:ind w:left="256" w:right="258"/>
              <w:rPr>
                <w:rFonts w:ascii="Times New Roman" w:hAnsi="Times New Roman" w:cs="Times New Roman"/>
              </w:rPr>
            </w:pPr>
            <w:r>
              <w:rPr>
                <w:sz w:val="18"/>
                <w:szCs w:val="18"/>
              </w:rPr>
              <w:t>Continuous Operation</w:t>
            </w:r>
          </w:p>
        </w:tc>
        <w:tc>
          <w:tcPr>
            <w:tcW w:w="2340" w:type="dxa"/>
            <w:tcBorders>
              <w:top w:val="double" w:sz="4" w:space="0" w:color="000000"/>
              <w:left w:val="single" w:sz="4" w:space="0" w:color="000000"/>
              <w:bottom w:val="double" w:sz="4" w:space="0" w:color="000000"/>
              <w:right w:val="single" w:sz="4" w:space="0" w:color="000000"/>
            </w:tcBorders>
          </w:tcPr>
          <w:p w14:paraId="7C6104AD" w14:textId="77777777" w:rsidR="003762B7" w:rsidRDefault="003762B7">
            <w:pPr>
              <w:pStyle w:val="TableParagraph"/>
              <w:kinsoku w:val="0"/>
              <w:overflowPunct w:val="0"/>
              <w:spacing w:before="1"/>
              <w:ind w:left="884" w:right="884"/>
              <w:rPr>
                <w:rFonts w:ascii="Times New Roman" w:hAnsi="Times New Roman" w:cs="Times New Roman"/>
              </w:rPr>
            </w:pPr>
            <w:r>
              <w:rPr>
                <w:sz w:val="18"/>
                <w:szCs w:val="18"/>
              </w:rPr>
              <w:t>Infinite</w:t>
            </w:r>
          </w:p>
        </w:tc>
        <w:tc>
          <w:tcPr>
            <w:tcW w:w="1801" w:type="dxa"/>
            <w:tcBorders>
              <w:top w:val="double" w:sz="4" w:space="0" w:color="000000"/>
              <w:left w:val="single" w:sz="4" w:space="0" w:color="000000"/>
              <w:bottom w:val="double" w:sz="4" w:space="0" w:color="000000"/>
              <w:right w:val="single" w:sz="4" w:space="0" w:color="000000"/>
            </w:tcBorders>
          </w:tcPr>
          <w:p w14:paraId="30FD53B7" w14:textId="77777777" w:rsidR="003762B7" w:rsidRDefault="003762B7">
            <w:pPr>
              <w:pStyle w:val="TableParagraph"/>
              <w:kinsoku w:val="0"/>
              <w:overflowPunct w:val="0"/>
              <w:spacing w:before="1"/>
              <w:ind w:right="581"/>
              <w:jc w:val="right"/>
              <w:rPr>
                <w:rFonts w:ascii="Times New Roman" w:hAnsi="Times New Roman" w:cs="Times New Roman"/>
              </w:rPr>
            </w:pPr>
            <w:r>
              <w:rPr>
                <w:sz w:val="18"/>
                <w:szCs w:val="18"/>
              </w:rPr>
              <w:t>Identical</w:t>
            </w:r>
          </w:p>
        </w:tc>
      </w:tr>
      <w:tr w:rsidR="003762B7" w14:paraId="373DE312" w14:textId="77777777">
        <w:trPr>
          <w:trHeight w:hRule="exact" w:val="240"/>
        </w:trPr>
        <w:tc>
          <w:tcPr>
            <w:tcW w:w="2696" w:type="dxa"/>
            <w:tcBorders>
              <w:top w:val="double" w:sz="4" w:space="0" w:color="000000"/>
              <w:left w:val="single" w:sz="4" w:space="0" w:color="000000"/>
              <w:bottom w:val="single" w:sz="4" w:space="0" w:color="000000"/>
              <w:right w:val="single" w:sz="4" w:space="0" w:color="000000"/>
            </w:tcBorders>
          </w:tcPr>
          <w:p w14:paraId="5A2C986A" w14:textId="77777777" w:rsidR="003762B7" w:rsidRDefault="003762B7">
            <w:pPr>
              <w:pStyle w:val="TableParagraph"/>
              <w:kinsoku w:val="0"/>
              <w:overflowPunct w:val="0"/>
              <w:ind w:left="805" w:right="805"/>
              <w:rPr>
                <w:rFonts w:ascii="Times New Roman" w:hAnsi="Times New Roman" w:cs="Times New Roman"/>
              </w:rPr>
            </w:pPr>
            <w:r>
              <w:rPr>
                <w:sz w:val="18"/>
                <w:szCs w:val="18"/>
              </w:rPr>
              <w:t>57.0 ≤ f &lt; 58.8</w:t>
            </w:r>
          </w:p>
        </w:tc>
        <w:tc>
          <w:tcPr>
            <w:tcW w:w="2184" w:type="dxa"/>
            <w:tcBorders>
              <w:top w:val="double" w:sz="4" w:space="0" w:color="000000"/>
              <w:left w:val="single" w:sz="4" w:space="0" w:color="000000"/>
              <w:bottom w:val="single" w:sz="4" w:space="0" w:color="000000"/>
              <w:right w:val="single" w:sz="4" w:space="0" w:color="000000"/>
            </w:tcBorders>
          </w:tcPr>
          <w:p w14:paraId="7BDFEEA6" w14:textId="77777777" w:rsidR="003762B7" w:rsidRDefault="003762B7">
            <w:pPr>
              <w:pStyle w:val="TableParagraph"/>
              <w:kinsoku w:val="0"/>
              <w:overflowPunct w:val="0"/>
              <w:ind w:left="256" w:right="256"/>
              <w:rPr>
                <w:rFonts w:ascii="Times New Roman" w:hAnsi="Times New Roman" w:cs="Times New Roman"/>
              </w:rPr>
            </w:pPr>
            <w:r>
              <w:rPr>
                <w:sz w:val="18"/>
                <w:szCs w:val="18"/>
              </w:rPr>
              <w:t>Mandatory Operation</w:t>
            </w:r>
          </w:p>
        </w:tc>
        <w:tc>
          <w:tcPr>
            <w:tcW w:w="2340" w:type="dxa"/>
            <w:tcBorders>
              <w:top w:val="double" w:sz="4" w:space="0" w:color="000000"/>
              <w:left w:val="single" w:sz="4" w:space="0" w:color="000000"/>
              <w:bottom w:val="single" w:sz="4" w:space="0" w:color="000000"/>
              <w:right w:val="single" w:sz="4" w:space="0" w:color="000000"/>
            </w:tcBorders>
          </w:tcPr>
          <w:p w14:paraId="58D3614C" w14:textId="77777777" w:rsidR="003762B7" w:rsidRDefault="003762B7">
            <w:pPr>
              <w:pStyle w:val="TableParagraph"/>
              <w:kinsoku w:val="0"/>
              <w:overflowPunct w:val="0"/>
              <w:ind w:left="884" w:right="884"/>
              <w:rPr>
                <w:rFonts w:ascii="Times New Roman" w:hAnsi="Times New Roman" w:cs="Times New Roman"/>
              </w:rPr>
            </w:pPr>
            <w:r>
              <w:rPr>
                <w:sz w:val="18"/>
                <w:szCs w:val="18"/>
              </w:rPr>
              <w:t>299</w:t>
            </w:r>
          </w:p>
        </w:tc>
        <w:tc>
          <w:tcPr>
            <w:tcW w:w="1801" w:type="dxa"/>
            <w:tcBorders>
              <w:top w:val="double" w:sz="4" w:space="0" w:color="000000"/>
              <w:left w:val="single" w:sz="4" w:space="0" w:color="000000"/>
              <w:bottom w:val="single" w:sz="4" w:space="0" w:color="000000"/>
              <w:right w:val="single" w:sz="4" w:space="0" w:color="000000"/>
            </w:tcBorders>
          </w:tcPr>
          <w:p w14:paraId="4048785A"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r w:rsidR="003762B7" w14:paraId="1C5C7417" w14:textId="77777777">
        <w:trPr>
          <w:trHeight w:hRule="exact" w:val="228"/>
        </w:trPr>
        <w:tc>
          <w:tcPr>
            <w:tcW w:w="2696" w:type="dxa"/>
            <w:tcBorders>
              <w:top w:val="single" w:sz="4" w:space="0" w:color="000000"/>
              <w:left w:val="single" w:sz="4" w:space="0" w:color="000000"/>
              <w:bottom w:val="single" w:sz="4" w:space="0" w:color="000000"/>
              <w:right w:val="single" w:sz="4" w:space="0" w:color="000000"/>
            </w:tcBorders>
          </w:tcPr>
          <w:p w14:paraId="5C3D033A" w14:textId="77777777" w:rsidR="003762B7" w:rsidRDefault="003762B7">
            <w:pPr>
              <w:pStyle w:val="TableParagraph"/>
              <w:kinsoku w:val="0"/>
              <w:overflowPunct w:val="0"/>
              <w:ind w:left="805" w:right="805"/>
              <w:rPr>
                <w:rFonts w:ascii="Times New Roman" w:hAnsi="Times New Roman" w:cs="Times New Roman"/>
              </w:rPr>
            </w:pPr>
            <w:r>
              <w:rPr>
                <w:sz w:val="18"/>
                <w:szCs w:val="18"/>
              </w:rPr>
              <w:t>f &lt; 57.0</w:t>
            </w:r>
          </w:p>
        </w:tc>
        <w:tc>
          <w:tcPr>
            <w:tcW w:w="4524" w:type="dxa"/>
            <w:gridSpan w:val="2"/>
            <w:tcBorders>
              <w:top w:val="single" w:sz="4" w:space="0" w:color="000000"/>
              <w:left w:val="single" w:sz="4" w:space="0" w:color="000000"/>
              <w:bottom w:val="single" w:sz="4" w:space="0" w:color="000000"/>
              <w:right w:val="single" w:sz="4" w:space="0" w:color="000000"/>
            </w:tcBorders>
          </w:tcPr>
          <w:p w14:paraId="2BB1B22C" w14:textId="77777777" w:rsidR="003762B7" w:rsidRDefault="003762B7">
            <w:pPr>
              <w:pStyle w:val="TableParagraph"/>
              <w:kinsoku w:val="0"/>
              <w:overflowPunct w:val="0"/>
              <w:ind w:left="448"/>
              <w:jc w:val="left"/>
              <w:rPr>
                <w:rFonts w:ascii="Times New Roman" w:hAnsi="Times New Roman" w:cs="Times New Roman"/>
              </w:rPr>
            </w:pPr>
            <w:r>
              <w:rPr>
                <w:sz w:val="18"/>
                <w:szCs w:val="18"/>
              </w:rPr>
              <w:t>No ride-through requirements apply to this range</w:t>
            </w:r>
          </w:p>
        </w:tc>
        <w:tc>
          <w:tcPr>
            <w:tcW w:w="1801" w:type="dxa"/>
            <w:tcBorders>
              <w:top w:val="single" w:sz="4" w:space="0" w:color="000000"/>
              <w:left w:val="single" w:sz="4" w:space="0" w:color="000000"/>
              <w:bottom w:val="single" w:sz="4" w:space="0" w:color="000000"/>
              <w:right w:val="single" w:sz="4" w:space="0" w:color="000000"/>
            </w:tcBorders>
          </w:tcPr>
          <w:p w14:paraId="5B0CFD40" w14:textId="77777777" w:rsidR="003762B7" w:rsidRDefault="003762B7">
            <w:pPr>
              <w:pStyle w:val="TableParagraph"/>
              <w:kinsoku w:val="0"/>
              <w:overflowPunct w:val="0"/>
              <w:ind w:right="581"/>
              <w:jc w:val="right"/>
              <w:rPr>
                <w:rFonts w:ascii="Times New Roman" w:hAnsi="Times New Roman" w:cs="Times New Roman"/>
              </w:rPr>
            </w:pPr>
            <w:r>
              <w:rPr>
                <w:sz w:val="18"/>
                <w:szCs w:val="18"/>
              </w:rPr>
              <w:t>Identical</w:t>
            </w:r>
          </w:p>
        </w:tc>
      </w:tr>
    </w:tbl>
    <w:p w14:paraId="21DE6927" w14:textId="77777777" w:rsidR="003762B7" w:rsidRDefault="003762B7" w:rsidP="003762B7">
      <w:pPr>
        <w:pStyle w:val="BodyText"/>
        <w:kinsoku w:val="0"/>
        <w:overflowPunct w:val="0"/>
        <w:ind w:left="571"/>
      </w:pPr>
    </w:p>
    <w:p w14:paraId="6C74CBFD" w14:textId="77777777" w:rsidR="00942464" w:rsidRDefault="00942464" w:rsidP="003762B7">
      <w:pPr>
        <w:pStyle w:val="BodyText"/>
        <w:kinsoku w:val="0"/>
        <w:overflowPunct w:val="0"/>
        <w:ind w:left="391"/>
        <w:jc w:val="center"/>
        <w:rPr>
          <w:b/>
        </w:rPr>
      </w:pPr>
    </w:p>
    <w:p w14:paraId="57C2AC68" w14:textId="77777777" w:rsidR="00942464" w:rsidRDefault="00942464" w:rsidP="003762B7">
      <w:pPr>
        <w:pStyle w:val="BodyText"/>
        <w:kinsoku w:val="0"/>
        <w:overflowPunct w:val="0"/>
        <w:ind w:left="391"/>
        <w:jc w:val="center"/>
        <w:rPr>
          <w:b/>
        </w:rPr>
      </w:pPr>
    </w:p>
    <w:p w14:paraId="625D0997" w14:textId="77777777" w:rsidR="00942464" w:rsidRDefault="00942464" w:rsidP="003762B7">
      <w:pPr>
        <w:pStyle w:val="BodyText"/>
        <w:kinsoku w:val="0"/>
        <w:overflowPunct w:val="0"/>
        <w:ind w:left="391"/>
        <w:jc w:val="center"/>
        <w:rPr>
          <w:b/>
        </w:rPr>
      </w:pPr>
    </w:p>
    <w:p w14:paraId="2645D0B5" w14:textId="77777777" w:rsidR="00942464" w:rsidRDefault="00942464" w:rsidP="003762B7">
      <w:pPr>
        <w:pStyle w:val="BodyText"/>
        <w:kinsoku w:val="0"/>
        <w:overflowPunct w:val="0"/>
        <w:ind w:left="391"/>
        <w:jc w:val="center"/>
        <w:rPr>
          <w:b/>
        </w:rPr>
      </w:pPr>
    </w:p>
    <w:p w14:paraId="5F6463FA" w14:textId="77777777" w:rsidR="00942464" w:rsidRDefault="00942464" w:rsidP="003762B7">
      <w:pPr>
        <w:pStyle w:val="BodyText"/>
        <w:kinsoku w:val="0"/>
        <w:overflowPunct w:val="0"/>
        <w:ind w:left="391"/>
        <w:jc w:val="center"/>
        <w:rPr>
          <w:b/>
        </w:rPr>
      </w:pPr>
    </w:p>
    <w:p w14:paraId="295C5ED0" w14:textId="77777777" w:rsidR="003762B7" w:rsidRPr="003762B7" w:rsidRDefault="003762B7" w:rsidP="003762B7">
      <w:pPr>
        <w:pStyle w:val="BodyText"/>
        <w:kinsoku w:val="0"/>
        <w:overflowPunct w:val="0"/>
        <w:ind w:left="391"/>
        <w:jc w:val="center"/>
        <w:rPr>
          <w:b/>
        </w:rPr>
      </w:pPr>
      <w:r w:rsidRPr="003762B7">
        <w:rPr>
          <w:b/>
        </w:rPr>
        <w:t>Table V: Grid Support Utility Interactive Inverter Functions Status</w:t>
      </w:r>
    </w:p>
    <w:p w14:paraId="57AE281B" w14:textId="77777777" w:rsidR="003762B7" w:rsidRDefault="003762B7" w:rsidP="003762B7">
      <w:pPr>
        <w:pStyle w:val="BodyText"/>
        <w:kinsoku w:val="0"/>
        <w:overflowPunct w:val="0"/>
        <w:spacing w:before="2"/>
        <w:ind w:left="571"/>
        <w:rPr>
          <w:sz w:val="13"/>
          <w:szCs w:val="13"/>
        </w:rPr>
      </w:pPr>
    </w:p>
    <w:tbl>
      <w:tblPr>
        <w:tblW w:w="0" w:type="auto"/>
        <w:tblInd w:w="103" w:type="dxa"/>
        <w:tblLayout w:type="fixed"/>
        <w:tblCellMar>
          <w:left w:w="0" w:type="dxa"/>
          <w:right w:w="0" w:type="dxa"/>
        </w:tblCellMar>
        <w:tblLook w:val="0000" w:firstRow="0" w:lastRow="0" w:firstColumn="0" w:lastColumn="0" w:noHBand="0" w:noVBand="0"/>
      </w:tblPr>
      <w:tblGrid>
        <w:gridCol w:w="4788"/>
        <w:gridCol w:w="4789"/>
      </w:tblGrid>
      <w:tr w:rsidR="003762B7" w14:paraId="2743C3B1" w14:textId="77777777">
        <w:trPr>
          <w:trHeight w:hRule="exact" w:val="415"/>
        </w:trPr>
        <w:tc>
          <w:tcPr>
            <w:tcW w:w="4788" w:type="dxa"/>
            <w:tcBorders>
              <w:top w:val="single" w:sz="4" w:space="0" w:color="000000"/>
              <w:left w:val="single" w:sz="4" w:space="0" w:color="000000"/>
              <w:bottom w:val="single" w:sz="4" w:space="0" w:color="000000"/>
              <w:right w:val="single" w:sz="4" w:space="0" w:color="000000"/>
            </w:tcBorders>
            <w:shd w:val="clear" w:color="auto" w:fill="BEBEBE"/>
          </w:tcPr>
          <w:p w14:paraId="4F4565C8" w14:textId="77777777" w:rsidR="003762B7" w:rsidRDefault="003762B7">
            <w:pPr>
              <w:pStyle w:val="TableParagraph"/>
              <w:kinsoku w:val="0"/>
              <w:overflowPunct w:val="0"/>
              <w:spacing w:before="92"/>
              <w:ind w:left="597" w:right="597"/>
              <w:rPr>
                <w:rFonts w:ascii="Times New Roman" w:hAnsi="Times New Roman" w:cs="Times New Roman"/>
              </w:rPr>
            </w:pPr>
            <w:r>
              <w:rPr>
                <w:b/>
                <w:bCs/>
                <w:sz w:val="18"/>
                <w:szCs w:val="18"/>
              </w:rPr>
              <w:t>Function</w:t>
            </w:r>
          </w:p>
        </w:tc>
        <w:tc>
          <w:tcPr>
            <w:tcW w:w="4789" w:type="dxa"/>
            <w:tcBorders>
              <w:top w:val="single" w:sz="4" w:space="0" w:color="000000"/>
              <w:left w:val="single" w:sz="4" w:space="0" w:color="000000"/>
              <w:bottom w:val="single" w:sz="4" w:space="0" w:color="000000"/>
              <w:right w:val="single" w:sz="4" w:space="0" w:color="000000"/>
            </w:tcBorders>
            <w:shd w:val="clear" w:color="auto" w:fill="BEBEBE"/>
          </w:tcPr>
          <w:p w14:paraId="345E788F" w14:textId="77777777" w:rsidR="003762B7" w:rsidRDefault="003762B7">
            <w:pPr>
              <w:pStyle w:val="TableParagraph"/>
              <w:kinsoku w:val="0"/>
              <w:overflowPunct w:val="0"/>
              <w:spacing w:before="92"/>
              <w:ind w:left="261" w:right="262"/>
              <w:rPr>
                <w:rFonts w:ascii="Times New Roman" w:hAnsi="Times New Roman" w:cs="Times New Roman"/>
              </w:rPr>
            </w:pPr>
            <w:r>
              <w:rPr>
                <w:b/>
                <w:bCs/>
                <w:sz w:val="18"/>
                <w:szCs w:val="18"/>
              </w:rPr>
              <w:t>Default Activation State</w:t>
            </w:r>
          </w:p>
        </w:tc>
      </w:tr>
      <w:tr w:rsidR="003762B7" w14:paraId="380AEEA9" w14:textId="77777777">
        <w:trPr>
          <w:trHeight w:hRule="exact" w:val="229"/>
        </w:trPr>
        <w:tc>
          <w:tcPr>
            <w:tcW w:w="4788" w:type="dxa"/>
            <w:tcBorders>
              <w:top w:val="single" w:sz="4" w:space="0" w:color="000000"/>
              <w:left w:val="single" w:sz="4" w:space="0" w:color="000000"/>
              <w:bottom w:val="single" w:sz="4" w:space="0" w:color="000000"/>
              <w:right w:val="single" w:sz="4" w:space="0" w:color="000000"/>
            </w:tcBorders>
          </w:tcPr>
          <w:p w14:paraId="6DB72A8D" w14:textId="77777777" w:rsidR="003762B7" w:rsidRDefault="003762B7">
            <w:pPr>
              <w:pStyle w:val="TableParagraph"/>
              <w:kinsoku w:val="0"/>
              <w:overflowPunct w:val="0"/>
              <w:ind w:left="596" w:right="597"/>
              <w:rPr>
                <w:rFonts w:ascii="Times New Roman" w:hAnsi="Times New Roman" w:cs="Times New Roman"/>
              </w:rPr>
            </w:pPr>
            <w:r>
              <w:rPr>
                <w:sz w:val="18"/>
                <w:szCs w:val="18"/>
              </w:rPr>
              <w:t>SPF, Specified Power Factor</w:t>
            </w:r>
          </w:p>
        </w:tc>
        <w:tc>
          <w:tcPr>
            <w:tcW w:w="4789" w:type="dxa"/>
            <w:tcBorders>
              <w:top w:val="single" w:sz="4" w:space="0" w:color="000000"/>
              <w:left w:val="single" w:sz="4" w:space="0" w:color="000000"/>
              <w:bottom w:val="single" w:sz="4" w:space="0" w:color="000000"/>
              <w:right w:val="single" w:sz="4" w:space="0" w:color="000000"/>
            </w:tcBorders>
          </w:tcPr>
          <w:p w14:paraId="26E8477B" w14:textId="77777777" w:rsidR="003762B7" w:rsidRDefault="003762B7">
            <w:pPr>
              <w:pStyle w:val="TableParagraph"/>
              <w:kinsoku w:val="0"/>
              <w:overflowPunct w:val="0"/>
              <w:ind w:left="261" w:right="262"/>
              <w:rPr>
                <w:rFonts w:ascii="Times New Roman" w:hAnsi="Times New Roman" w:cs="Times New Roman"/>
              </w:rPr>
            </w:pPr>
            <w:r>
              <w:rPr>
                <w:sz w:val="18"/>
                <w:szCs w:val="18"/>
              </w:rPr>
              <w:t>OFF</w:t>
            </w:r>
            <w:r>
              <w:rPr>
                <w:position w:val="9"/>
                <w:sz w:val="12"/>
                <w:szCs w:val="12"/>
              </w:rPr>
              <w:t>2</w:t>
            </w:r>
          </w:p>
        </w:tc>
      </w:tr>
      <w:tr w:rsidR="003762B7" w14:paraId="5CDC3F8D" w14:textId="77777777">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16728CFC" w14:textId="77777777" w:rsidR="003762B7" w:rsidRDefault="003762B7">
            <w:pPr>
              <w:pStyle w:val="TableParagraph"/>
              <w:kinsoku w:val="0"/>
              <w:overflowPunct w:val="0"/>
              <w:spacing w:before="109"/>
              <w:ind w:left="597" w:right="597"/>
              <w:rPr>
                <w:rFonts w:ascii="Times New Roman" w:hAnsi="Times New Roman" w:cs="Times New Roman"/>
              </w:rPr>
            </w:pPr>
            <w:r>
              <w:rPr>
                <w:sz w:val="18"/>
                <w:szCs w:val="18"/>
              </w:rPr>
              <w:t>Q(V), Volt-Var Function with Watt or Var Priority</w:t>
            </w:r>
          </w:p>
        </w:tc>
        <w:tc>
          <w:tcPr>
            <w:tcW w:w="4789" w:type="dxa"/>
            <w:tcBorders>
              <w:top w:val="single" w:sz="4" w:space="0" w:color="000000"/>
              <w:left w:val="single" w:sz="4" w:space="0" w:color="000000"/>
              <w:bottom w:val="single" w:sz="4" w:space="0" w:color="000000"/>
              <w:right w:val="single" w:sz="4" w:space="0" w:color="000000"/>
            </w:tcBorders>
          </w:tcPr>
          <w:p w14:paraId="43974CE1" w14:textId="77777777" w:rsidR="003762B7" w:rsidRDefault="003762B7">
            <w:pPr>
              <w:pStyle w:val="TableParagraph"/>
              <w:kinsoku w:val="0"/>
              <w:overflowPunct w:val="0"/>
              <w:spacing w:before="1"/>
              <w:ind w:left="261" w:right="262"/>
              <w:rPr>
                <w:sz w:val="18"/>
                <w:szCs w:val="18"/>
              </w:rPr>
            </w:pPr>
            <w:r>
              <w:rPr>
                <w:sz w:val="18"/>
                <w:szCs w:val="18"/>
              </w:rPr>
              <w:t>OFF</w:t>
            </w:r>
          </w:p>
          <w:p w14:paraId="1E6D2975" w14:textId="77777777" w:rsidR="003762B7" w:rsidRDefault="003762B7">
            <w:pPr>
              <w:pStyle w:val="TableParagraph"/>
              <w:kinsoku w:val="0"/>
              <w:overflowPunct w:val="0"/>
              <w:ind w:left="261" w:right="265"/>
              <w:rPr>
                <w:rFonts w:ascii="Times New Roman" w:hAnsi="Times New Roman" w:cs="Times New Roman"/>
              </w:rPr>
            </w:pPr>
            <w:r>
              <w:rPr>
                <w:sz w:val="18"/>
                <w:szCs w:val="18"/>
              </w:rPr>
              <w:t>Default value: 2% of maximum current output per second</w:t>
            </w:r>
          </w:p>
        </w:tc>
      </w:tr>
      <w:tr w:rsidR="003762B7" w14:paraId="54BECB3B" w14:textId="77777777">
        <w:trPr>
          <w:trHeight w:hRule="exact" w:val="228"/>
        </w:trPr>
        <w:tc>
          <w:tcPr>
            <w:tcW w:w="4788" w:type="dxa"/>
            <w:tcBorders>
              <w:top w:val="single" w:sz="4" w:space="0" w:color="000000"/>
              <w:left w:val="single" w:sz="4" w:space="0" w:color="000000"/>
              <w:bottom w:val="single" w:sz="4" w:space="0" w:color="000000"/>
              <w:right w:val="single" w:sz="4" w:space="0" w:color="000000"/>
            </w:tcBorders>
          </w:tcPr>
          <w:p w14:paraId="087EDA18" w14:textId="77777777" w:rsidR="003762B7" w:rsidRDefault="003762B7">
            <w:pPr>
              <w:pStyle w:val="TableParagraph"/>
              <w:kinsoku w:val="0"/>
              <w:overflowPunct w:val="0"/>
              <w:ind w:left="597" w:right="597"/>
              <w:rPr>
                <w:rFonts w:ascii="Times New Roman" w:hAnsi="Times New Roman" w:cs="Times New Roman"/>
              </w:rPr>
            </w:pPr>
            <w:r>
              <w:rPr>
                <w:sz w:val="18"/>
                <w:szCs w:val="18"/>
              </w:rPr>
              <w:t>SS, Soft-Start Ramp Rate</w:t>
            </w:r>
          </w:p>
        </w:tc>
        <w:tc>
          <w:tcPr>
            <w:tcW w:w="4789" w:type="dxa"/>
            <w:tcBorders>
              <w:top w:val="single" w:sz="4" w:space="0" w:color="000000"/>
              <w:left w:val="single" w:sz="4" w:space="0" w:color="000000"/>
              <w:bottom w:val="single" w:sz="4" w:space="0" w:color="000000"/>
              <w:right w:val="single" w:sz="4" w:space="0" w:color="000000"/>
            </w:tcBorders>
          </w:tcPr>
          <w:p w14:paraId="05818458" w14:textId="77777777" w:rsidR="003762B7" w:rsidRDefault="003762B7">
            <w:pPr>
              <w:pStyle w:val="TableParagraph"/>
              <w:kinsoku w:val="0"/>
              <w:overflowPunct w:val="0"/>
              <w:ind w:left="261" w:right="261"/>
              <w:rPr>
                <w:rFonts w:ascii="Times New Roman" w:hAnsi="Times New Roman" w:cs="Times New Roman"/>
              </w:rPr>
            </w:pPr>
            <w:r>
              <w:rPr>
                <w:sz w:val="18"/>
                <w:szCs w:val="18"/>
              </w:rPr>
              <w:t>ON</w:t>
            </w:r>
          </w:p>
        </w:tc>
      </w:tr>
      <w:tr w:rsidR="003762B7" w14:paraId="67976FC6" w14:textId="77777777">
        <w:trPr>
          <w:trHeight w:hRule="exact" w:val="451"/>
        </w:trPr>
        <w:tc>
          <w:tcPr>
            <w:tcW w:w="4788" w:type="dxa"/>
            <w:tcBorders>
              <w:top w:val="single" w:sz="4" w:space="0" w:color="000000"/>
              <w:left w:val="single" w:sz="4" w:space="0" w:color="000000"/>
              <w:bottom w:val="single" w:sz="4" w:space="0" w:color="000000"/>
              <w:right w:val="single" w:sz="4" w:space="0" w:color="000000"/>
            </w:tcBorders>
          </w:tcPr>
          <w:p w14:paraId="3687772B" w14:textId="77777777" w:rsidR="003762B7" w:rsidRDefault="003762B7">
            <w:pPr>
              <w:pStyle w:val="TableParagraph"/>
              <w:kinsoku w:val="0"/>
              <w:overflowPunct w:val="0"/>
              <w:spacing w:before="1"/>
              <w:ind w:left="596" w:right="597"/>
              <w:rPr>
                <w:rFonts w:ascii="Times New Roman" w:hAnsi="Times New Roman" w:cs="Times New Roman"/>
              </w:rPr>
            </w:pPr>
            <w:r>
              <w:rPr>
                <w:sz w:val="18"/>
                <w:szCs w:val="18"/>
              </w:rPr>
              <w:t>FW, Freq-Watt Function OFF</w:t>
            </w:r>
          </w:p>
        </w:tc>
        <w:tc>
          <w:tcPr>
            <w:tcW w:w="4789" w:type="dxa"/>
            <w:tcBorders>
              <w:top w:val="single" w:sz="4" w:space="0" w:color="000000"/>
              <w:left w:val="single" w:sz="4" w:space="0" w:color="000000"/>
              <w:bottom w:val="single" w:sz="4" w:space="0" w:color="000000"/>
              <w:right w:val="single" w:sz="4" w:space="0" w:color="000000"/>
            </w:tcBorders>
          </w:tcPr>
          <w:p w14:paraId="05F37335" w14:textId="77777777" w:rsidR="003762B7" w:rsidRDefault="003762B7">
            <w:pPr>
              <w:pStyle w:val="TableParagraph"/>
              <w:kinsoku w:val="0"/>
              <w:overflowPunct w:val="0"/>
              <w:spacing w:before="109"/>
              <w:ind w:left="261" w:right="262"/>
              <w:rPr>
                <w:rFonts w:ascii="Times New Roman" w:hAnsi="Times New Roman" w:cs="Times New Roman"/>
              </w:rPr>
            </w:pPr>
            <w:r>
              <w:rPr>
                <w:sz w:val="18"/>
                <w:szCs w:val="18"/>
              </w:rPr>
              <w:t>OFF</w:t>
            </w:r>
          </w:p>
        </w:tc>
      </w:tr>
    </w:tbl>
    <w:p w14:paraId="37A7EF9F" w14:textId="77777777" w:rsidR="00EB038A" w:rsidRDefault="00EB038A" w:rsidP="00EB038A"/>
    <w:p w14:paraId="40A087CB" w14:textId="77777777" w:rsidR="00A46E93" w:rsidRPr="00A46E93" w:rsidRDefault="00A46E93" w:rsidP="00714830">
      <w:pPr>
        <w:pStyle w:val="Heading2"/>
      </w:pPr>
      <w:bookmarkStart w:id="17" w:name="_Toc10106981"/>
      <w:r w:rsidRPr="00A46E93">
        <w:lastRenderedPageBreak/>
        <w:t>Minimum Protective Function</w:t>
      </w:r>
      <w:r w:rsidR="00191B31">
        <w:t>s</w:t>
      </w:r>
      <w:bookmarkEnd w:id="17"/>
    </w:p>
    <w:p w14:paraId="69865933" w14:textId="77777777" w:rsidR="00A46E93" w:rsidRDefault="00A46E93" w:rsidP="00A46E93">
      <w:r>
        <w:t>Protective system requirements for distributed generation facilities result from an assessment of many factors, including but not limited to:</w:t>
      </w:r>
    </w:p>
    <w:p w14:paraId="6218ED4A" w14:textId="77777777" w:rsidR="00A46E93" w:rsidRDefault="00A46E93" w:rsidP="00A46E93">
      <w:r>
        <w:t>• Type and size of the distributed generation facility</w:t>
      </w:r>
    </w:p>
    <w:p w14:paraId="71542212" w14:textId="77777777" w:rsidR="00A46E93" w:rsidRDefault="00A46E93" w:rsidP="00A46E93">
      <w:r>
        <w:t>• Voltage level of the interconnection</w:t>
      </w:r>
    </w:p>
    <w:p w14:paraId="43AC05D9" w14:textId="77777777" w:rsidR="008C3AE0" w:rsidRDefault="00A46E93" w:rsidP="00A46E93">
      <w:r>
        <w:t>• Location of the distributed generation facility on the circuit</w:t>
      </w:r>
    </w:p>
    <w:p w14:paraId="396932AB" w14:textId="77777777" w:rsidR="00A46E93" w:rsidRDefault="00A46E93" w:rsidP="00A46E93">
      <w:r>
        <w:t>Distribution transformer</w:t>
      </w:r>
    </w:p>
    <w:p w14:paraId="13C9A5FC" w14:textId="77777777" w:rsidR="00A46E93" w:rsidRDefault="00A46E93" w:rsidP="00A46E93">
      <w:r>
        <w:t>• Distribution system configuration</w:t>
      </w:r>
    </w:p>
    <w:p w14:paraId="39F1828C" w14:textId="77777777" w:rsidR="00A46E93" w:rsidRDefault="00A46E93" w:rsidP="00A46E93">
      <w:r>
        <w:t>• Available fault current</w:t>
      </w:r>
    </w:p>
    <w:p w14:paraId="012A1213" w14:textId="77777777" w:rsidR="00A46E93" w:rsidRDefault="00A46E93" w:rsidP="00A46E93">
      <w:r>
        <w:t>• Load that can remain connected to the distributed generation facility under isolated conditions</w:t>
      </w:r>
    </w:p>
    <w:p w14:paraId="460414E1" w14:textId="77777777" w:rsidR="00A46E93" w:rsidRDefault="00A46E93" w:rsidP="00A46E93">
      <w:r>
        <w:t>• Amount of existing distributed generation on the local distribution system.</w:t>
      </w:r>
    </w:p>
    <w:p w14:paraId="25A1DB80" w14:textId="77777777" w:rsidR="00D70AD9" w:rsidRDefault="00A46E93" w:rsidP="00D70AD9">
      <w:r>
        <w:t xml:space="preserve">It is not possible to standardize protection requirements according to any single criteria. Minimum protective function requirements shall be as detailed in the </w:t>
      </w:r>
      <w:r w:rsidR="00D70AD9">
        <w:t>T</w:t>
      </w:r>
      <w:r>
        <w:t>able</w:t>
      </w:r>
      <w:r w:rsidR="00D70AD9">
        <w:t xml:space="preserve"> VI</w:t>
      </w:r>
      <w:r>
        <w:t xml:space="preserve"> below. Function numbers, as detailed in the latest version of ANSI C37.2, are listed with each function. All voltage, frequency, and clearing time set points shall be field adjustable.</w:t>
      </w:r>
      <w:r w:rsidR="00D70AD9">
        <w:t xml:space="preserve"> </w:t>
      </w:r>
    </w:p>
    <w:p w14:paraId="4D6E81AF" w14:textId="77777777" w:rsidR="00D70AD9" w:rsidRDefault="00D70AD9" w:rsidP="00D70AD9">
      <w:pPr>
        <w:jc w:val="center"/>
      </w:pPr>
      <w:r w:rsidRPr="00D70AD9">
        <w:rPr>
          <w:rFonts w:asciiTheme="majorHAnsi" w:hAnsiTheme="majorHAnsi"/>
          <w:b/>
          <w:sz w:val="24"/>
          <w:szCs w:val="24"/>
        </w:rPr>
        <w:t>Table V</w:t>
      </w:r>
      <w:r>
        <w:rPr>
          <w:rFonts w:asciiTheme="majorHAnsi" w:hAnsiTheme="majorHAnsi"/>
          <w:b/>
          <w:sz w:val="24"/>
          <w:szCs w:val="24"/>
        </w:rPr>
        <w:t>I</w:t>
      </w:r>
      <w:r w:rsidRPr="00D70AD9">
        <w:rPr>
          <w:rFonts w:asciiTheme="majorHAnsi" w:hAnsiTheme="majorHAnsi"/>
          <w:b/>
          <w:sz w:val="24"/>
          <w:szCs w:val="24"/>
        </w:rPr>
        <w:t>: Grid Support</w:t>
      </w:r>
      <w:r>
        <w:rPr>
          <w:rFonts w:asciiTheme="majorHAnsi" w:hAnsiTheme="majorHAnsi"/>
          <w:b/>
          <w:sz w:val="24"/>
          <w:szCs w:val="24"/>
        </w:rPr>
        <w:t xml:space="preserve"> Minimum Protective Functions</w:t>
      </w:r>
    </w:p>
    <w:tbl>
      <w:tblPr>
        <w:tblStyle w:val="TableGrid"/>
        <w:tblW w:w="0" w:type="auto"/>
        <w:tblLook w:val="04A0" w:firstRow="1" w:lastRow="0" w:firstColumn="1" w:lastColumn="0" w:noHBand="0" w:noVBand="1"/>
      </w:tblPr>
      <w:tblGrid>
        <w:gridCol w:w="3116"/>
        <w:gridCol w:w="3117"/>
        <w:gridCol w:w="3117"/>
      </w:tblGrid>
      <w:tr w:rsidR="00A46E93" w14:paraId="328439C4" w14:textId="77777777" w:rsidTr="00A46E93">
        <w:tc>
          <w:tcPr>
            <w:tcW w:w="3116" w:type="dxa"/>
          </w:tcPr>
          <w:p w14:paraId="2371FBA8" w14:textId="77777777" w:rsidR="00A46E93" w:rsidRDefault="00A46E93" w:rsidP="00A46E93">
            <w:r>
              <w:t>Synchronous Generators</w:t>
            </w:r>
          </w:p>
          <w:p w14:paraId="66D010C7" w14:textId="77777777" w:rsidR="00A46E93" w:rsidRDefault="00A46E93" w:rsidP="00A46E93"/>
        </w:tc>
        <w:tc>
          <w:tcPr>
            <w:tcW w:w="3117" w:type="dxa"/>
          </w:tcPr>
          <w:p w14:paraId="57209DB3" w14:textId="77777777" w:rsidR="00A46E93" w:rsidRDefault="00A46E93" w:rsidP="00A46E93">
            <w:r>
              <w:t>Induction Generators</w:t>
            </w:r>
          </w:p>
          <w:p w14:paraId="194EBC17" w14:textId="77777777" w:rsidR="00A46E93" w:rsidRDefault="00A46E93" w:rsidP="00A46E93"/>
        </w:tc>
        <w:tc>
          <w:tcPr>
            <w:tcW w:w="3117" w:type="dxa"/>
          </w:tcPr>
          <w:p w14:paraId="7C926C95" w14:textId="77777777" w:rsidR="00A46E93" w:rsidRDefault="00A46E93" w:rsidP="00A46E93">
            <w:r>
              <w:t>Inverters</w:t>
            </w:r>
          </w:p>
          <w:p w14:paraId="185C931B" w14:textId="77777777" w:rsidR="00A46E93" w:rsidRDefault="00A46E93" w:rsidP="00A46E93"/>
        </w:tc>
      </w:tr>
      <w:tr w:rsidR="00A46E93" w14:paraId="58037866" w14:textId="77777777" w:rsidTr="00A46E93">
        <w:tc>
          <w:tcPr>
            <w:tcW w:w="3116" w:type="dxa"/>
          </w:tcPr>
          <w:p w14:paraId="15A8EE92" w14:textId="77777777" w:rsidR="00A46E93" w:rsidRDefault="00A46E93" w:rsidP="00A46E93">
            <w:r>
              <w:t>Over/Under Voltage (Function 27/59)</w:t>
            </w:r>
          </w:p>
          <w:p w14:paraId="0CD50CC4" w14:textId="77777777" w:rsidR="00A46E93" w:rsidRDefault="00A46E93" w:rsidP="00A46E93"/>
        </w:tc>
        <w:tc>
          <w:tcPr>
            <w:tcW w:w="3117" w:type="dxa"/>
          </w:tcPr>
          <w:p w14:paraId="645777BE" w14:textId="77777777" w:rsidR="00A46E93" w:rsidRDefault="00A46E93" w:rsidP="00A46E93">
            <w:r>
              <w:t>Over/Under Voltage (Function 27/59)</w:t>
            </w:r>
          </w:p>
          <w:p w14:paraId="0A99AB3D" w14:textId="77777777" w:rsidR="00A46E93" w:rsidRDefault="00A46E93" w:rsidP="00A46E93"/>
        </w:tc>
        <w:tc>
          <w:tcPr>
            <w:tcW w:w="3117" w:type="dxa"/>
          </w:tcPr>
          <w:p w14:paraId="444AF643" w14:textId="77777777" w:rsidR="00A46E93" w:rsidRDefault="00A46E93" w:rsidP="00A46E93">
            <w:r>
              <w:t>Over/Under Voltage (Function 27/59)</w:t>
            </w:r>
          </w:p>
          <w:p w14:paraId="0AD63D89" w14:textId="77777777" w:rsidR="00A46E93" w:rsidRDefault="00A46E93" w:rsidP="00A46E93"/>
        </w:tc>
      </w:tr>
      <w:tr w:rsidR="00A46E93" w14:paraId="341F8BE4" w14:textId="77777777" w:rsidTr="00A46E93">
        <w:tc>
          <w:tcPr>
            <w:tcW w:w="3116" w:type="dxa"/>
          </w:tcPr>
          <w:p w14:paraId="182ED3C6" w14:textId="77777777" w:rsidR="00A46E93" w:rsidRDefault="00A46E93" w:rsidP="00A46E93">
            <w:r>
              <w:t>Over/Under Frequency (Function 81O/81U)</w:t>
            </w:r>
          </w:p>
          <w:p w14:paraId="577F09ED" w14:textId="77777777" w:rsidR="00A46E93" w:rsidRDefault="00A46E93" w:rsidP="00A46E93"/>
        </w:tc>
        <w:tc>
          <w:tcPr>
            <w:tcW w:w="3117" w:type="dxa"/>
          </w:tcPr>
          <w:p w14:paraId="3FACAF60" w14:textId="77777777" w:rsidR="00A46E93" w:rsidRDefault="00A46E93" w:rsidP="00A46E93">
            <w:r>
              <w:t>Over/Under Frequency (Function 81O/81U)</w:t>
            </w:r>
          </w:p>
          <w:p w14:paraId="5ED0CD64" w14:textId="77777777" w:rsidR="00A46E93" w:rsidRDefault="00A46E93" w:rsidP="00A46E93"/>
        </w:tc>
        <w:tc>
          <w:tcPr>
            <w:tcW w:w="3117" w:type="dxa"/>
          </w:tcPr>
          <w:p w14:paraId="0B64552A" w14:textId="77777777" w:rsidR="00A46E93" w:rsidRDefault="00A46E93" w:rsidP="00A46E93">
            <w:r>
              <w:t>Over/Under Frequency (Function 81O/81U)</w:t>
            </w:r>
          </w:p>
          <w:p w14:paraId="2323EBF3" w14:textId="77777777" w:rsidR="00A46E93" w:rsidRDefault="00A46E93" w:rsidP="00A46E93"/>
        </w:tc>
      </w:tr>
      <w:tr w:rsidR="00A46E93" w14:paraId="4A29D498" w14:textId="77777777" w:rsidTr="00A46E93">
        <w:tc>
          <w:tcPr>
            <w:tcW w:w="3116" w:type="dxa"/>
          </w:tcPr>
          <w:p w14:paraId="39466FA9" w14:textId="77777777" w:rsidR="00A46E93" w:rsidRDefault="00A46E93" w:rsidP="00A46E93">
            <w:r>
              <w:t>Anti-Islanding Protection</w:t>
            </w:r>
          </w:p>
          <w:p w14:paraId="5E368B52" w14:textId="77777777" w:rsidR="00A46E93" w:rsidRDefault="00A46E93" w:rsidP="00A46E93"/>
        </w:tc>
        <w:tc>
          <w:tcPr>
            <w:tcW w:w="3117" w:type="dxa"/>
          </w:tcPr>
          <w:p w14:paraId="6D8BBC53" w14:textId="77777777" w:rsidR="00A46E93" w:rsidRDefault="00A46E93" w:rsidP="00A46E93">
            <w:r>
              <w:t>Anti-Islanding Protection</w:t>
            </w:r>
          </w:p>
          <w:p w14:paraId="24C4BFCE" w14:textId="77777777" w:rsidR="00A46E93" w:rsidRDefault="00A46E93" w:rsidP="00A46E93"/>
        </w:tc>
        <w:tc>
          <w:tcPr>
            <w:tcW w:w="3117" w:type="dxa"/>
          </w:tcPr>
          <w:p w14:paraId="2AFEFADC" w14:textId="77777777" w:rsidR="00A46E93" w:rsidRDefault="00A46E93" w:rsidP="00A46E93">
            <w:r>
              <w:t>Anti-Islanding Protection</w:t>
            </w:r>
          </w:p>
          <w:p w14:paraId="12EA862B" w14:textId="77777777" w:rsidR="00A46E93" w:rsidRDefault="00A46E93" w:rsidP="00A46E93"/>
        </w:tc>
      </w:tr>
      <w:tr w:rsidR="00A46E93" w14:paraId="423CB7EB" w14:textId="77777777" w:rsidTr="00A46E93">
        <w:tc>
          <w:tcPr>
            <w:tcW w:w="3116" w:type="dxa"/>
          </w:tcPr>
          <w:p w14:paraId="41CDB52B" w14:textId="77777777" w:rsidR="00A46E93" w:rsidRDefault="00A46E93" w:rsidP="00A46E93">
            <w:r>
              <w:t>Overcurrent (Function 50P/50G/51P/51G)</w:t>
            </w:r>
          </w:p>
          <w:p w14:paraId="0BAC0652" w14:textId="77777777" w:rsidR="00A46E93" w:rsidRDefault="00A46E93" w:rsidP="00A46E93"/>
        </w:tc>
        <w:tc>
          <w:tcPr>
            <w:tcW w:w="3117" w:type="dxa"/>
          </w:tcPr>
          <w:p w14:paraId="617B2724" w14:textId="77777777" w:rsidR="00A46E93" w:rsidRDefault="00A46E93" w:rsidP="00A46E93">
            <w:r>
              <w:t>Overcurrent (Function 50P/50G/51P/51G)</w:t>
            </w:r>
          </w:p>
          <w:p w14:paraId="4C99887D" w14:textId="77777777" w:rsidR="00A46E93" w:rsidRDefault="00A46E93" w:rsidP="00A46E93"/>
        </w:tc>
        <w:tc>
          <w:tcPr>
            <w:tcW w:w="3117" w:type="dxa"/>
          </w:tcPr>
          <w:p w14:paraId="3915F947" w14:textId="77777777" w:rsidR="00A46E93" w:rsidRDefault="00A46E93" w:rsidP="00A46E93">
            <w:r>
              <w:t>Overcurrent (Function 50P/50G/51P/51G)</w:t>
            </w:r>
          </w:p>
          <w:p w14:paraId="1B08F8C7" w14:textId="77777777" w:rsidR="00A46E93" w:rsidRDefault="00A46E93" w:rsidP="00A46E93"/>
        </w:tc>
      </w:tr>
    </w:tbl>
    <w:p w14:paraId="2E68931B" w14:textId="77777777" w:rsidR="00A46E93" w:rsidRDefault="00A46E93" w:rsidP="00A46E93"/>
    <w:p w14:paraId="7CE03963" w14:textId="77777777" w:rsidR="00A46E93" w:rsidRDefault="00A46E93" w:rsidP="00A46E93">
      <w:r>
        <w:t>For energy storage systems or distributed generation where net export is limited, Reverse Power</w:t>
      </w:r>
      <w:r w:rsidR="001D213A">
        <w:t xml:space="preserve"> </w:t>
      </w:r>
      <w:r w:rsidRPr="00A46E93">
        <w:t xml:space="preserve">(Function 32) </w:t>
      </w:r>
      <w:r>
        <w:t>should</w:t>
      </w:r>
      <w:r w:rsidRPr="00A46E93">
        <w:t xml:space="preserve"> be required.</w:t>
      </w:r>
    </w:p>
    <w:p w14:paraId="41068F37" w14:textId="77777777" w:rsidR="00A46E93" w:rsidRDefault="00A46E93" w:rsidP="00A46E93">
      <w:r w:rsidRPr="00A46E93">
        <w:t xml:space="preserve">The need for additional protective functions </w:t>
      </w:r>
      <w:r>
        <w:t>will</w:t>
      </w:r>
      <w:r w:rsidRPr="00A46E93">
        <w:t xml:space="preserve"> be determined by the utility on a case- by-case basis. If the utility determines a need for additional functions, it </w:t>
      </w:r>
      <w:r>
        <w:t>will</w:t>
      </w:r>
      <w:r w:rsidRPr="00A46E93">
        <w:t xml:space="preserve"> notify the </w:t>
      </w:r>
      <w:r w:rsidR="00D70AD9">
        <w:t xml:space="preserve">DER </w:t>
      </w:r>
      <w:r w:rsidRPr="00A46E93">
        <w:t xml:space="preserve">owner of the requirements. </w:t>
      </w:r>
      <w:r w:rsidRPr="00A46E93">
        <w:lastRenderedPageBreak/>
        <w:t xml:space="preserve">The notice </w:t>
      </w:r>
      <w:r>
        <w:t>should</w:t>
      </w:r>
      <w:r w:rsidRPr="00A46E93">
        <w:t xml:space="preserve"> include a description of the specific aspects of the utility system that necessitate the addition, and </w:t>
      </w:r>
      <w:r>
        <w:t>ideally,</w:t>
      </w:r>
      <w:r w:rsidRPr="00A46E93">
        <w:t xml:space="preserve"> explicit justification for the necessity of the enhanced capability. The </w:t>
      </w:r>
      <w:r>
        <w:t xml:space="preserve">connecting </w:t>
      </w:r>
      <w:r w:rsidRPr="00A46E93">
        <w:t xml:space="preserve">utility </w:t>
      </w:r>
      <w:r>
        <w:t>will</w:t>
      </w:r>
      <w:r w:rsidRPr="00A46E93">
        <w:t xml:space="preserve"> specify and provide settings for those functions that the utility designates as being required to satisfy </w:t>
      </w:r>
      <w:r>
        <w:t xml:space="preserve">their individual </w:t>
      </w:r>
      <w:r w:rsidRPr="00A46E93">
        <w:t xml:space="preserve">protection practices. Any protective equipment or setting specified by the utility </w:t>
      </w:r>
      <w:r w:rsidR="003F6CCD">
        <w:t>must</w:t>
      </w:r>
      <w:r w:rsidRPr="00A46E93">
        <w:t xml:space="preserve"> not be changed or modified at any time by the </w:t>
      </w:r>
      <w:r w:rsidR="00D70AD9">
        <w:t>DER</w:t>
      </w:r>
      <w:r w:rsidRPr="00A46E93">
        <w:t xml:space="preserve"> owner without consent from the utility.</w:t>
      </w:r>
    </w:p>
    <w:p w14:paraId="33B0FB63" w14:textId="77777777" w:rsidR="00676C17" w:rsidRDefault="00676C17" w:rsidP="00676C17">
      <w:r>
        <w:t xml:space="preserve">The </w:t>
      </w:r>
      <w:r w:rsidR="009A16CD">
        <w:t xml:space="preserve">DER </w:t>
      </w:r>
      <w:r>
        <w:t>owner shall be responsible for ongoing compliance with all applicable local, state, and federal codes and standardized interconnection requirements as they pertain to the interconnection of the generating equipment. Protective devices shall utilize their own current transformers and potential transformers and not share electrical equipment associated with utility revenue metering.</w:t>
      </w:r>
    </w:p>
    <w:p w14:paraId="27A8C69B" w14:textId="77777777" w:rsidR="00676C17" w:rsidRDefault="00676C17" w:rsidP="00676C17">
      <w:r>
        <w:t xml:space="preserve">A failure of the </w:t>
      </w:r>
      <w:r w:rsidR="009A16CD">
        <w:t xml:space="preserve">DER </w:t>
      </w:r>
      <w:r>
        <w:t xml:space="preserve">owner’s protective devices, including loss of control power, shall open the automatic disconnect device, thus disconnecting the generation from the utility system. A </w:t>
      </w:r>
      <w:r w:rsidR="009A16CD">
        <w:t xml:space="preserve">DER </w:t>
      </w:r>
      <w:r>
        <w:t>owner’s protection equipment shall utilize a non-volatile memory design such that a loss of internal or external control power, including batteries, will not cause a loss of interconnection protection functions or loss of protection set points.</w:t>
      </w:r>
    </w:p>
    <w:p w14:paraId="10D7E049" w14:textId="77777777" w:rsidR="00676C17" w:rsidRDefault="00676C17" w:rsidP="00676C17">
      <w:r>
        <w:t>All interface protection and control equipment shall operate as specified independent of the calendar date.</w:t>
      </w:r>
    </w:p>
    <w:p w14:paraId="44C3F7EF" w14:textId="77777777" w:rsidR="00676C17" w:rsidRDefault="00676C17" w:rsidP="00676C17">
      <w:r>
        <w:t>For monitoring and control of new DG projects, the most current version of the Monitoring and Control Criteria should be employed by the utilities to evaluate the need for such equipment</w:t>
      </w:r>
      <w:r w:rsidR="00AD1A2E">
        <w:t xml:space="preserve"> in New York</w:t>
      </w:r>
      <w:r w:rsidR="009A16CD">
        <w:t xml:space="preserve"> and considered in the NPCC region if no other local criteria are available</w:t>
      </w:r>
      <w:r w:rsidR="00AD1A2E">
        <w:t>. T</w:t>
      </w:r>
      <w:r>
        <w:t xml:space="preserve">he </w:t>
      </w:r>
      <w:r w:rsidR="009A16CD">
        <w:t xml:space="preserve">New York </w:t>
      </w:r>
      <w:r>
        <w:t>Monitoring and Control Criteria document was developed and agreed to through a collaborative process as part of the Interconnection Technical Working Group (ITWG). This document can be found on the Department of Public Service website (</w:t>
      </w:r>
      <w:hyperlink r:id="rId18" w:history="1">
        <w:r w:rsidRPr="00676C17">
          <w:rPr>
            <w:rStyle w:val="Hyperlink"/>
          </w:rPr>
          <w:t>www.dps.ny.gov</w:t>
        </w:r>
      </w:hyperlink>
      <w:r>
        <w:t xml:space="preserve">) at the Distributed Generation/Interconnections tab under Interconnection Technical Working Group Information. The communications hardware, protocols, and data models must comply with </w:t>
      </w:r>
      <w:r w:rsidR="004B4269">
        <w:t xml:space="preserve">local </w:t>
      </w:r>
      <w:r>
        <w:t>utility standards.</w:t>
      </w:r>
    </w:p>
    <w:p w14:paraId="2D0B5422" w14:textId="77777777" w:rsidR="00AD1A2E" w:rsidRDefault="00AD1A2E" w:rsidP="00676C17">
      <w:r>
        <w:t xml:space="preserve">Also and fundamentally, </w:t>
      </w:r>
      <w:r w:rsidRPr="00AD1A2E">
        <w:t xml:space="preserve">existing over-current protections in distribution system are typically designed to clear line and ground faults occurring downstream from their location, as the source feeding the fault is only the transformer station. Connecting a </w:t>
      </w:r>
      <w:r>
        <w:t>DER</w:t>
      </w:r>
      <w:r w:rsidRPr="00AD1A2E">
        <w:t xml:space="preserve"> provides another source supplying the fault, and the fault contribution from the facility might cause protection to operate non-selectively for reverse faults, out of the protected zone. If the maximum reverse fault current through a non-directional fault-interrupting device exceeds the setting of the device, the fault-interrupting device </w:t>
      </w:r>
      <w:r>
        <w:t>should be considered</w:t>
      </w:r>
      <w:r w:rsidRPr="00AD1A2E">
        <w:t xml:space="preserve"> with a directional feature to prevent tripping for reverse fault current flow. </w:t>
      </w:r>
      <w:r>
        <w:t xml:space="preserve">For instance, </w:t>
      </w:r>
      <w:r w:rsidRPr="00AD1A2E">
        <w:t>phase protection could be replaced with an impedance relay (</w:t>
      </w:r>
      <w:r w:rsidR="009A16CD">
        <w:t xml:space="preserve">function </w:t>
      </w:r>
      <w:r w:rsidRPr="00AD1A2E">
        <w:t>21) if required.</w:t>
      </w:r>
    </w:p>
    <w:p w14:paraId="26A75AB2" w14:textId="77777777" w:rsidR="00676C17" w:rsidRPr="00676C17" w:rsidRDefault="00676C17" w:rsidP="00714830">
      <w:pPr>
        <w:pStyle w:val="Heading2"/>
      </w:pPr>
      <w:bookmarkStart w:id="18" w:name="_Toc10106982"/>
      <w:r w:rsidRPr="00676C17">
        <w:t>Metering</w:t>
      </w:r>
      <w:bookmarkEnd w:id="18"/>
    </w:p>
    <w:p w14:paraId="7D4F16EF" w14:textId="77777777" w:rsidR="00684677" w:rsidRDefault="00676C17" w:rsidP="00676C17">
      <w:r>
        <w:t xml:space="preserve">Metering requirements shall be determined by the configuration of the DER system. New metering or modifications to existing metering will be reviewed on a case-by-case basis and shall be consistent with metering requirements required by the local connecting utility and adopted by the local regulatory jurisdiction. Net Energy Metering should be installed when a DER has the capability or potential to </w:t>
      </w:r>
      <w:r>
        <w:lastRenderedPageBreak/>
        <w:t>provide resources back into the Distribution System</w:t>
      </w:r>
      <w:r w:rsidR="007536FD">
        <w:t>,</w:t>
      </w:r>
      <w:r w:rsidR="00166988">
        <w:t xml:space="preserve"> </w:t>
      </w:r>
      <w:r w:rsidR="007536FD">
        <w:t>however,</w:t>
      </w:r>
      <w:r w:rsidR="00166988">
        <w:t xml:space="preserve"> the </w:t>
      </w:r>
      <w:r w:rsidR="007536FD">
        <w:t>eligibility of a DER provider to receive net metering will be subject to the rules of the interconnecting utility</w:t>
      </w:r>
      <w:r>
        <w:t xml:space="preserve">.  </w:t>
      </w:r>
    </w:p>
    <w:p w14:paraId="5E2FB879" w14:textId="77777777" w:rsidR="008C3AE0" w:rsidRDefault="00684677" w:rsidP="00676C17">
      <w:r w:rsidRPr="00684677">
        <w:t xml:space="preserve">A </w:t>
      </w:r>
      <w:r>
        <w:t>DER</w:t>
      </w:r>
      <w:r w:rsidRPr="00684677">
        <w:t xml:space="preserve"> connected to the point of connection </w:t>
      </w:r>
      <w:r>
        <w:t>should</w:t>
      </w:r>
      <w:r w:rsidRPr="00684677">
        <w:t xml:space="preserve"> be capable of </w:t>
      </w:r>
      <w:r>
        <w:t xml:space="preserve">providing </w:t>
      </w:r>
      <w:r w:rsidRPr="00684677">
        <w:t xml:space="preserve">monitoring connection status, real power output, reactive power output, and voltage either at the point of connection or aggregate connection, as required by the </w:t>
      </w:r>
      <w:r>
        <w:t>distribution utility</w:t>
      </w:r>
      <w:r w:rsidRPr="00684677">
        <w:t xml:space="preserve">. The monitoring equipment </w:t>
      </w:r>
      <w:r>
        <w:t>should</w:t>
      </w:r>
      <w:r w:rsidRPr="00684677">
        <w:t xml:space="preserve"> be installed at time of interconnection. The distributor and the generator </w:t>
      </w:r>
      <w:r>
        <w:t>must</w:t>
      </w:r>
      <w:r w:rsidRPr="00684677">
        <w:t xml:space="preserve"> mutually agree upon communication media options. </w:t>
      </w:r>
      <w:r>
        <w:t xml:space="preserve">The </w:t>
      </w:r>
      <w:r w:rsidR="00676C17">
        <w:t xml:space="preserve">DER metering </w:t>
      </w:r>
      <w:r>
        <w:t xml:space="preserve">and monitoring </w:t>
      </w:r>
      <w:r w:rsidR="00676C17">
        <w:t>communication</w:t>
      </w:r>
      <w:r>
        <w:t>s</w:t>
      </w:r>
      <w:r w:rsidR="00676C17">
        <w:t xml:space="preserve"> </w:t>
      </w:r>
      <w:r>
        <w:t>will</w:t>
      </w:r>
      <w:r w:rsidR="00676C17">
        <w:t xml:space="preserve"> allow interoperability and </w:t>
      </w:r>
      <w:r w:rsidR="002225D6">
        <w:t xml:space="preserve">the capability to provide system operators with </w:t>
      </w:r>
      <w:r w:rsidR="00676C17">
        <w:t xml:space="preserve">situational awareness as deemed necessary by the interconnecting utility.  As more DER is employed and base load generation is replaced with DER grid-edge resources, it will be important to be able to monitor the </w:t>
      </w:r>
      <w:r>
        <w:t xml:space="preserve">availability and </w:t>
      </w:r>
      <w:r w:rsidR="00676C17">
        <w:t xml:space="preserve">production of energy </w:t>
      </w:r>
      <w:r>
        <w:t>from</w:t>
      </w:r>
      <w:r w:rsidR="00676C17">
        <w:t xml:space="preserve"> these resources.</w:t>
      </w:r>
    </w:p>
    <w:p w14:paraId="67C4D84A" w14:textId="77777777" w:rsidR="00191B31" w:rsidRPr="00191B31" w:rsidRDefault="00191B31" w:rsidP="00714830">
      <w:pPr>
        <w:pStyle w:val="Heading2"/>
      </w:pPr>
      <w:bookmarkStart w:id="19" w:name="_Toc10106983"/>
      <w:r w:rsidRPr="00191B31">
        <w:t>Power Quality</w:t>
      </w:r>
      <w:bookmarkEnd w:id="19"/>
    </w:p>
    <w:p w14:paraId="05AA8307" w14:textId="77777777" w:rsidR="00191B31" w:rsidRDefault="00191B31" w:rsidP="00191B31">
      <w:r>
        <w:t>The requirements for acceptable flicker levels shall be in accordance with the latest version of IEEE Std</w:t>
      </w:r>
      <w:r w:rsidR="00714830">
        <w:t>.</w:t>
      </w:r>
      <w:r>
        <w:t xml:space="preserve"> 1453 Recommended Practice for the Analysis of Fluctuating Installations on Power Systems. Short and long-term perception of flicker shall be within the planning and compatibility levels delineated in this standard. Mitigation measures necessary to comply with these requirements shall at the </w:t>
      </w:r>
      <w:r w:rsidR="009A16CD">
        <w:t xml:space="preserve">DER </w:t>
      </w:r>
      <w:r>
        <w:t>owner’s expense.</w:t>
      </w:r>
    </w:p>
    <w:p w14:paraId="7971457B" w14:textId="77777777" w:rsidR="00191B31" w:rsidRPr="00191B31" w:rsidRDefault="00191B31" w:rsidP="00714830">
      <w:pPr>
        <w:pStyle w:val="Heading2"/>
      </w:pPr>
      <w:bookmarkStart w:id="20" w:name="_Toc10106984"/>
      <w:r w:rsidRPr="00191B31">
        <w:t>Power Factor</w:t>
      </w:r>
      <w:bookmarkEnd w:id="20"/>
    </w:p>
    <w:p w14:paraId="09838AC1" w14:textId="77777777" w:rsidR="00191B31" w:rsidRDefault="00191B31" w:rsidP="00191B31">
      <w:r>
        <w:t>If the average power factor, as measured at the PCC, is less than 0.9 (leading or lagging), the method of power factor correction necessitated by the installation of the generator will be negotiated with the utility as a commercial item. If the average power factor of the generator is proven to be above the minimum of 0.9 (leading or lagging) by the customer and accepted by the utility, that power factor value shall be used for any further utility design calculations and requirements.</w:t>
      </w:r>
    </w:p>
    <w:p w14:paraId="166EC663" w14:textId="77777777" w:rsidR="00672732" w:rsidRDefault="00191B31" w:rsidP="00191B31">
      <w:r>
        <w:t xml:space="preserve">Induction power generators may be provided VAR capacity from the utility system at the </w:t>
      </w:r>
      <w:r w:rsidR="001B41DC">
        <w:t xml:space="preserve">DER </w:t>
      </w:r>
      <w:r>
        <w:t xml:space="preserve">owner’s expense. The installation of VAR correction equipment by the generator- owner on the </w:t>
      </w:r>
      <w:r w:rsidR="001B41DC">
        <w:t xml:space="preserve">DER </w:t>
      </w:r>
      <w:r>
        <w:t>owner’s side of the PCC must be reviewed and approved by the utility prior to installation.</w:t>
      </w:r>
    </w:p>
    <w:p w14:paraId="32BD8740" w14:textId="77777777" w:rsidR="00CF42A0" w:rsidRPr="00CF42A0" w:rsidRDefault="00CF42A0" w:rsidP="00714830">
      <w:pPr>
        <w:pStyle w:val="Heading2"/>
      </w:pPr>
      <w:bookmarkStart w:id="21" w:name="_Toc10106985"/>
      <w:r w:rsidRPr="00CF42A0">
        <w:t>Islanding</w:t>
      </w:r>
      <w:bookmarkEnd w:id="21"/>
    </w:p>
    <w:p w14:paraId="2BFA8070" w14:textId="77777777" w:rsidR="00CF42A0" w:rsidRDefault="00CF42A0" w:rsidP="00CF42A0">
      <w:r>
        <w:t>Systems must be designed and operated so that islanding is not sustained on utility distribution circuits or on substation bus and transmission systems. The requirements listed in this document are designed and intended to prevent islanding and subject to be superseded by local requirements. Special protection schemes and system modifications may be necessary based on the capacity of the proposed system and the configuration and existing loading on the subject circuit.</w:t>
      </w:r>
    </w:p>
    <w:p w14:paraId="441E0887" w14:textId="77777777" w:rsidR="001341F3" w:rsidRDefault="001341F3" w:rsidP="001341F3">
      <w:r w:rsidRPr="00CF42A0">
        <w:t xml:space="preserve">The need for zero sequence voltage and direct transfer trip protection schemes </w:t>
      </w:r>
      <w:r>
        <w:t>will</w:t>
      </w:r>
      <w:r w:rsidRPr="00CF42A0">
        <w:t xml:space="preserve"> be evaluated based on minimum loads on the associated feeder and substation bus, including certain fault conditions resulting from system installation to protect for an islanded condition.</w:t>
      </w:r>
    </w:p>
    <w:p w14:paraId="4F39F397" w14:textId="77777777" w:rsidR="007536FD" w:rsidRDefault="007536FD" w:rsidP="007536FD">
      <w:pPr>
        <w:pStyle w:val="Heading2"/>
      </w:pPr>
      <w:bookmarkStart w:id="22" w:name="_Toc10106986"/>
      <w:r>
        <w:lastRenderedPageBreak/>
        <w:t>Underfrequency Load Shedding Programs</w:t>
      </w:r>
      <w:bookmarkEnd w:id="22"/>
    </w:p>
    <w:p w14:paraId="7D42CBCE" w14:textId="77777777" w:rsidR="005A2915" w:rsidRDefault="000F4536" w:rsidP="000F4536">
      <w:r w:rsidRPr="000F4536">
        <w:t>Under frequency load shedding is implemented to restore power system frequency stability if system frequency drops below the operational set point during major disturbance such as</w:t>
      </w:r>
      <w:r>
        <w:t xml:space="preserve"> a</w:t>
      </w:r>
      <w:r w:rsidRPr="000F4536">
        <w:t xml:space="preserve"> los</w:t>
      </w:r>
      <w:r>
        <w:t>s</w:t>
      </w:r>
      <w:r w:rsidRPr="000F4536">
        <w:t xml:space="preserve"> of generation</w:t>
      </w:r>
      <w:r>
        <w:t xml:space="preserve"> or events in excess of design based contingencies</w:t>
      </w:r>
      <w:r w:rsidRPr="000F4536">
        <w:t xml:space="preserve">. </w:t>
      </w:r>
      <w:r w:rsidR="005A2915">
        <w:t xml:space="preserve"> The importance of an effective automatic UFLS program cannot be overemphasized.  UFLS is considered a “safety net” for the BES and a last resort of automatic control operations designed to stabilize BES islands of load and generation for a specific amount of imbalance, typically a 25% deficiency of generation.  UFLS is primarily armed on distribution feeders, where DER is increasingly being deployed.</w:t>
      </w:r>
    </w:p>
    <w:p w14:paraId="0691A9E1" w14:textId="77777777" w:rsidR="000F4536" w:rsidRDefault="000F4536" w:rsidP="000F4536">
      <w:r>
        <w:t>NERC has a set of requirements in their PRC-006 standard and NPCC has more stringent requirements in NPCC’s Regional Standard, PRC-006-NPCC</w:t>
      </w:r>
      <w:r w:rsidR="005A2915">
        <w:t xml:space="preserve"> which outline expected performance</w:t>
      </w:r>
      <w:r w:rsidRPr="000F4536">
        <w:t>.</w:t>
      </w:r>
      <w:r>
        <w:t xml:space="preserve">  Approved and effective versions of these standards may both be found on the NERC website.</w:t>
      </w:r>
    </w:p>
    <w:p w14:paraId="1D2EE2F3" w14:textId="77777777" w:rsidR="005A2915" w:rsidRDefault="005A2915" w:rsidP="000F4536">
      <w:r>
        <w:t xml:space="preserve">An NPCC </w:t>
      </w:r>
      <w:r w:rsidR="001B41DC">
        <w:t xml:space="preserve">Load Modeling </w:t>
      </w:r>
      <w:r>
        <w:t>Working Group</w:t>
      </w:r>
      <w:r w:rsidR="001341F3">
        <w:t>,</w:t>
      </w:r>
      <w:r>
        <w:t xml:space="preserve"> SS</w:t>
      </w:r>
      <w:r w:rsidR="001B41DC">
        <w:t>-</w:t>
      </w:r>
      <w:r>
        <w:t>38</w:t>
      </w:r>
      <w:r w:rsidR="001341F3">
        <w:t>,</w:t>
      </w:r>
      <w:r>
        <w:t xml:space="preserve"> has studied the UFLS performance of the Region and determined that no change, at this time, is necessary in the UFLS program.  The SS</w:t>
      </w:r>
      <w:r w:rsidR="001B41DC">
        <w:t>-</w:t>
      </w:r>
      <w:r>
        <w:t>38 has also performed some sensitivity analysis and determined that increased levels of DER penetration in the short term will not result in any significant degradation in UFLS performance.</w:t>
      </w:r>
    </w:p>
    <w:p w14:paraId="2AC53F53" w14:textId="77777777" w:rsidR="005A2915" w:rsidRPr="000F4536" w:rsidRDefault="005A2915" w:rsidP="000F4536">
      <w:r>
        <w:t xml:space="preserve">As DER penetrates in the longer term it may be necessary to adopt a more flexible approach to UFLS.  There are utilities that are reviewing the feasibility of “Adaptive UFLS” which uses real time monitoring of distribution feeder loads and their DER to determine how much additional load may need to be tripped when DER has increased output.  </w:t>
      </w:r>
      <w:r w:rsidR="00A126DA">
        <w:t>This increased automation is not necessary within NPCC at this time however our technical groups will continue to assess and affirm the NPCC UFLS program is effective in maintaining reliability.</w:t>
      </w:r>
    </w:p>
    <w:p w14:paraId="6C1B0BB9" w14:textId="77777777" w:rsidR="007536FD" w:rsidRDefault="00DF3AB1" w:rsidP="00DF3AB1">
      <w:pPr>
        <w:pStyle w:val="Heading2"/>
      </w:pPr>
      <w:bookmarkStart w:id="23" w:name="_Toc10106987"/>
      <w:r>
        <w:t>Effective Grounding for DER</w:t>
      </w:r>
      <w:bookmarkEnd w:id="23"/>
    </w:p>
    <w:p w14:paraId="649D975D" w14:textId="77777777" w:rsidR="00DF3AB1" w:rsidRDefault="00DF3AB1" w:rsidP="00DF3AB1">
      <w:r>
        <w:t xml:space="preserve">With the onset of high DER </w:t>
      </w:r>
      <w:r w:rsidR="0064206C">
        <w:t xml:space="preserve">such as </w:t>
      </w:r>
      <w:r>
        <w:t>photovoltaic (PV) penetration, utilities should consider interconnection of PV plants similarly to how they would interconnect synchronous generators. Conventional generators are considered to be voltage sources as they provide constant AC voltages controlled by excitation systems. In contrast, an inverter-based PV plant is modeled as a current source and the DER terminal voltage is dependent on the feeder to which it is connected.</w:t>
      </w:r>
    </w:p>
    <w:p w14:paraId="0CC4BF01" w14:textId="77777777" w:rsidR="00DF3AB1" w:rsidRDefault="00DF3AB1" w:rsidP="00DF3AB1">
      <w:r w:rsidRPr="00987EF3">
        <w:t xml:space="preserve">Solidly grounding a transformer neutral </w:t>
      </w:r>
      <w:r w:rsidR="00987EF3">
        <w:t>for a DER</w:t>
      </w:r>
      <w:r w:rsidRPr="00987EF3">
        <w:t xml:space="preserve"> eliminates a possible phase overvoltage stemming from a single-line-to-ground fault. A potential problem with the solid grounding in the distribution line is that large fault currents can flow through the transformer neutral, which can desensitize the overcurrent protection coordination. In order to mitigate this issue, impedance grounding can limit the fault current </w:t>
      </w:r>
      <w:r w:rsidR="00987EF3">
        <w:t xml:space="preserve">and potential equipment damage, </w:t>
      </w:r>
      <w:r w:rsidRPr="00987EF3">
        <w:t>while allowing overvoltage to some limited magnitude.</w:t>
      </w:r>
      <w:r w:rsidR="00F52B22">
        <w:t xml:space="preserve">  Some utilities protect their distribution from overvoltage by using overvoltage protection so Effective Grounding isn’t a concern. </w:t>
      </w:r>
      <w:r w:rsidR="00987EF3">
        <w:t xml:space="preserve">  Further investigation on the how specific installations are grounded is warranted and being pursued by the Interconnection Technical Working Group (ITWG) in New York.</w:t>
      </w:r>
    </w:p>
    <w:p w14:paraId="72E03245" w14:textId="77777777" w:rsidR="00102AE0" w:rsidRDefault="00102AE0" w:rsidP="00102AE0">
      <w:pPr>
        <w:pStyle w:val="Heading2"/>
      </w:pPr>
      <w:bookmarkStart w:id="24" w:name="_Toc10106988"/>
      <w:r>
        <w:lastRenderedPageBreak/>
        <w:t>Energy Storage Systems for DER</w:t>
      </w:r>
      <w:bookmarkEnd w:id="24"/>
    </w:p>
    <w:p w14:paraId="1DF58804" w14:textId="77777777" w:rsidR="00102AE0" w:rsidRDefault="00102AE0" w:rsidP="00DF3AB1">
      <w:r w:rsidRPr="00102AE0">
        <w:t xml:space="preserve">Li-ion batteries have been </w:t>
      </w:r>
      <w:r>
        <w:t xml:space="preserve">and continue to be </w:t>
      </w:r>
      <w:r w:rsidRPr="00102AE0">
        <w:t>deployed in a wide range of energy-storage applications, ranging from energy-type batteries of a few kilowatt-hours in residential systems with rooftop photovoltaic arrays to multi-megawatt containerized batteries for the provision of grid ancillary services.</w:t>
      </w:r>
      <w:r>
        <w:t xml:space="preserve">  The Energy Storage Association (ESA) anticipates </w:t>
      </w:r>
      <w:r w:rsidRPr="00102AE0">
        <w:t>at least 35 G</w:t>
      </w:r>
      <w:r>
        <w:t xml:space="preserve">W of new energy storage </w:t>
      </w:r>
      <w:r w:rsidR="001B41DC">
        <w:t xml:space="preserve">in the United States </w:t>
      </w:r>
      <w:r>
        <w:t>by 2025 and that the amount of energy storage will double from 2018 levels during 2019.</w:t>
      </w:r>
    </w:p>
    <w:p w14:paraId="6F6FBA2C" w14:textId="77777777" w:rsidR="00102AE0" w:rsidRDefault="00102AE0" w:rsidP="00DF3AB1">
      <w:r>
        <w:t xml:space="preserve">The ESA in conjunction with over 25 </w:t>
      </w:r>
      <w:r w:rsidR="001B41DC">
        <w:t xml:space="preserve">vendors and </w:t>
      </w:r>
      <w:r>
        <w:t>utilities have formed a task force and made a commitment to optimize safety standards</w:t>
      </w:r>
      <w:r w:rsidR="00BE61EA">
        <w:t xml:space="preserve">. </w:t>
      </w:r>
      <w:r>
        <w:t xml:space="preserve"> </w:t>
      </w:r>
      <w:r w:rsidR="00BE61EA">
        <w:t>C</w:t>
      </w:r>
      <w:r>
        <w:t xml:space="preserve">are should be used in placement of batteries.  Suggested placements should avoid proximity to other </w:t>
      </w:r>
      <w:r w:rsidR="009A51F6">
        <w:t xml:space="preserve">facilities that may be </w:t>
      </w:r>
      <w:r>
        <w:t>critical</w:t>
      </w:r>
      <w:r w:rsidR="009A51F6">
        <w:t xml:space="preserve"> the reliability of the BES.</w:t>
      </w:r>
      <w:r>
        <w:t xml:space="preserve"> </w:t>
      </w:r>
    </w:p>
    <w:p w14:paraId="2C461715" w14:textId="77777777" w:rsidR="006F55D7" w:rsidRDefault="006F55D7" w:rsidP="006F55D7">
      <w:pPr>
        <w:pStyle w:val="Heading1"/>
        <w:spacing w:line="480" w:lineRule="auto"/>
      </w:pPr>
      <w:bookmarkStart w:id="25" w:name="_Toc10106989"/>
      <w:r>
        <w:t>DER BES Recommendations</w:t>
      </w:r>
      <w:bookmarkEnd w:id="25"/>
    </w:p>
    <w:p w14:paraId="17F04617" w14:textId="77777777" w:rsidR="006F55D7" w:rsidRPr="006F55D7" w:rsidRDefault="006F55D7" w:rsidP="006F55D7">
      <w:r>
        <w:t xml:space="preserve">As DER continues to penetrate the </w:t>
      </w:r>
      <w:r w:rsidR="00BE61EA">
        <w:t xml:space="preserve">NPCC </w:t>
      </w:r>
      <w:r>
        <w:t xml:space="preserve">Region we suggest the following </w:t>
      </w:r>
      <w:r w:rsidR="00675B04">
        <w:t xml:space="preserve">initial </w:t>
      </w:r>
      <w:r>
        <w:t>activities:</w:t>
      </w:r>
    </w:p>
    <w:p w14:paraId="77BDA270" w14:textId="77777777" w:rsidR="002617CC" w:rsidRPr="009F74D1" w:rsidRDefault="002617CC" w:rsidP="009F74D1">
      <w:pPr>
        <w:rPr>
          <w:u w:val="single"/>
        </w:rPr>
      </w:pPr>
      <w:r w:rsidRPr="009F74D1">
        <w:rPr>
          <w:u w:val="single"/>
        </w:rPr>
        <w:t>Process and Risk Management Recommendations</w:t>
      </w:r>
    </w:p>
    <w:p w14:paraId="410DAAD5" w14:textId="4FA0CC2C" w:rsidR="006F55D7" w:rsidRDefault="006F55D7" w:rsidP="006F55D7">
      <w:pPr>
        <w:pStyle w:val="ListParagraph"/>
        <w:numPr>
          <w:ilvl w:val="0"/>
          <w:numId w:val="22"/>
        </w:numPr>
      </w:pPr>
      <w:r>
        <w:t>Continue with sensitivity analysis</w:t>
      </w:r>
      <w:r w:rsidR="005C2734">
        <w:t xml:space="preserve"> at the Transmission </w:t>
      </w:r>
      <w:r w:rsidR="00AC73B0">
        <w:t>level for</w:t>
      </w:r>
      <w:r>
        <w:t xml:space="preserve"> </w:t>
      </w:r>
      <w:r w:rsidR="00AC73B0">
        <w:t>various</w:t>
      </w:r>
      <w:r w:rsidR="005C2734">
        <w:t xml:space="preserve"> levels of </w:t>
      </w:r>
      <w:r>
        <w:t xml:space="preserve">penetration of DER on distribution </w:t>
      </w:r>
      <w:r w:rsidR="005C2734">
        <w:t>facilities</w:t>
      </w:r>
      <w:r>
        <w:t xml:space="preserve"> to determine any adverse effects on UFLS performance</w:t>
      </w:r>
      <w:r w:rsidR="007A38AA">
        <w:t>.</w:t>
      </w:r>
    </w:p>
    <w:p w14:paraId="445F88DE" w14:textId="77777777" w:rsidR="006F55D7" w:rsidRDefault="006F55D7" w:rsidP="006F55D7">
      <w:pPr>
        <w:pStyle w:val="ListParagraph"/>
        <w:numPr>
          <w:ilvl w:val="0"/>
          <w:numId w:val="22"/>
        </w:numPr>
      </w:pPr>
      <w:r>
        <w:t xml:space="preserve">Pursue further opportunities to coordinate distribution and transmission </w:t>
      </w:r>
      <w:r w:rsidR="005C2734">
        <w:t xml:space="preserve">reporting </w:t>
      </w:r>
      <w:r>
        <w:t xml:space="preserve">requirements for </w:t>
      </w:r>
      <w:r w:rsidR="00675B04">
        <w:t xml:space="preserve">generating </w:t>
      </w:r>
      <w:r>
        <w:t>resources</w:t>
      </w:r>
      <w:r w:rsidR="00675B04">
        <w:t xml:space="preserve"> and promote </w:t>
      </w:r>
      <w:r w:rsidR="005E6FAA">
        <w:t xml:space="preserve">NPCC </w:t>
      </w:r>
      <w:r w:rsidR="00675B04">
        <w:t>Regional consistency where possible</w:t>
      </w:r>
      <w:r w:rsidR="005E6FAA">
        <w:t>.</w:t>
      </w:r>
    </w:p>
    <w:p w14:paraId="20127E2C" w14:textId="6A37485D" w:rsidR="005C2734" w:rsidRDefault="006F55D7" w:rsidP="006F55D7">
      <w:pPr>
        <w:pStyle w:val="ListParagraph"/>
        <w:numPr>
          <w:ilvl w:val="0"/>
          <w:numId w:val="22"/>
        </w:numPr>
      </w:pPr>
      <w:r>
        <w:t xml:space="preserve">Continue to review </w:t>
      </w:r>
      <w:r w:rsidR="005C2734">
        <w:t>NPCC A</w:t>
      </w:r>
      <w:r>
        <w:t>rea</w:t>
      </w:r>
      <w:r w:rsidR="005C2734">
        <w:t xml:space="preserve"> authorities having </w:t>
      </w:r>
      <w:r w:rsidR="00AC73B0">
        <w:t>jurisdiction and</w:t>
      </w:r>
      <w:r>
        <w:t xml:space="preserve"> utility </w:t>
      </w:r>
      <w:r w:rsidR="005C2734">
        <w:t xml:space="preserve">interconnection </w:t>
      </w:r>
      <w:r w:rsidR="00AC73B0">
        <w:t>requirements</w:t>
      </w:r>
      <w:r w:rsidR="005C2734">
        <w:t xml:space="preserve"> </w:t>
      </w:r>
      <w:r>
        <w:t xml:space="preserve">documents to identify dissimilarities </w:t>
      </w:r>
      <w:r w:rsidR="005C2734">
        <w:t xml:space="preserve">which may negatively impact </w:t>
      </w:r>
      <w:r w:rsidR="00AC73B0">
        <w:t>reliability</w:t>
      </w:r>
      <w:r w:rsidR="005C2734">
        <w:t>.</w:t>
      </w:r>
    </w:p>
    <w:p w14:paraId="007F2971" w14:textId="638E7D9A" w:rsidR="006F55D7" w:rsidRDefault="009F74D1" w:rsidP="006F55D7">
      <w:pPr>
        <w:pStyle w:val="ListParagraph"/>
        <w:numPr>
          <w:ilvl w:val="0"/>
          <w:numId w:val="22"/>
        </w:numPr>
      </w:pPr>
      <w:r>
        <w:t>Identify</w:t>
      </w:r>
      <w:r w:rsidR="006F55D7">
        <w:t xml:space="preserve"> opportunities to share information</w:t>
      </w:r>
      <w:r w:rsidR="005C2734">
        <w:t xml:space="preserve"> regarding problems and problem solving</w:t>
      </w:r>
      <w:r w:rsidR="005E6FAA">
        <w:t>.</w:t>
      </w:r>
    </w:p>
    <w:p w14:paraId="368BBD89" w14:textId="429EDB3A" w:rsidR="006F55D7" w:rsidRDefault="006F55D7" w:rsidP="006F55D7">
      <w:pPr>
        <w:pStyle w:val="ListParagraph"/>
        <w:numPr>
          <w:ilvl w:val="0"/>
          <w:numId w:val="22"/>
        </w:numPr>
      </w:pPr>
      <w:r>
        <w:t>Continue to solicit and address observable</w:t>
      </w:r>
      <w:r w:rsidR="005C2734">
        <w:t xml:space="preserve"> reliability issues</w:t>
      </w:r>
      <w:r>
        <w:t xml:space="preserve"> of </w:t>
      </w:r>
      <w:r w:rsidR="005C2734">
        <w:t xml:space="preserve">DER initiated </w:t>
      </w:r>
      <w:r>
        <w:t xml:space="preserve">BES impact through the use of </w:t>
      </w:r>
      <w:r w:rsidR="00A7240F">
        <w:t xml:space="preserve">NPCC’s </w:t>
      </w:r>
      <w:r>
        <w:t>DER Impact Reporting Forms and its associated process.</w:t>
      </w:r>
    </w:p>
    <w:p w14:paraId="29F30F4B" w14:textId="77777777" w:rsidR="006F55D7" w:rsidRDefault="006F55D7" w:rsidP="006F55D7">
      <w:pPr>
        <w:pStyle w:val="ListParagraph"/>
        <w:numPr>
          <w:ilvl w:val="0"/>
          <w:numId w:val="22"/>
        </w:numPr>
      </w:pPr>
      <w:r>
        <w:t>Continue to discuss any changes required</w:t>
      </w:r>
      <w:r w:rsidR="00A7240F">
        <w:t xml:space="preserve"> for System Restoration and Blackstart Plans,</w:t>
      </w:r>
      <w:r>
        <w:t xml:space="preserve"> as a result of increased DER</w:t>
      </w:r>
      <w:r w:rsidR="00A7240F">
        <w:t>.</w:t>
      </w:r>
    </w:p>
    <w:p w14:paraId="6C9E7C39" w14:textId="77777777" w:rsidR="004E5AE3" w:rsidRDefault="004E5AE3" w:rsidP="006F55D7">
      <w:pPr>
        <w:pStyle w:val="ListParagraph"/>
        <w:numPr>
          <w:ilvl w:val="0"/>
          <w:numId w:val="22"/>
        </w:numPr>
      </w:pPr>
      <w:r>
        <w:t xml:space="preserve">Continue to follow ESA ESS safety issues and associated recommendations and share </w:t>
      </w:r>
      <w:r w:rsidR="00A7240F">
        <w:t xml:space="preserve">the results with </w:t>
      </w:r>
      <w:r w:rsidR="005C2734">
        <w:t xml:space="preserve">NPCC </w:t>
      </w:r>
      <w:r w:rsidR="00A7240F">
        <w:t>stakeholders.</w:t>
      </w:r>
    </w:p>
    <w:p w14:paraId="17107798" w14:textId="593FFCBA" w:rsidR="002617CC" w:rsidRDefault="002617CC" w:rsidP="007E34E5">
      <w:r w:rsidRPr="009F74D1">
        <w:rPr>
          <w:u w:val="single"/>
        </w:rPr>
        <w:t>Planning Related Recommendations Du</w:t>
      </w:r>
      <w:r w:rsidR="009F74D1" w:rsidRPr="009F74D1">
        <w:rPr>
          <w:u w:val="single"/>
        </w:rPr>
        <w:t>e</w:t>
      </w:r>
      <w:r w:rsidRPr="009F74D1">
        <w:rPr>
          <w:u w:val="single"/>
        </w:rPr>
        <w:t xml:space="preserve"> to Changing Resource Mix</w:t>
      </w:r>
    </w:p>
    <w:p w14:paraId="6DC8B072" w14:textId="69A7A472" w:rsidR="002617CC" w:rsidRDefault="002617CC" w:rsidP="002617CC">
      <w:pPr>
        <w:pStyle w:val="ListParagraph"/>
        <w:numPr>
          <w:ilvl w:val="0"/>
          <w:numId w:val="22"/>
        </w:numPr>
      </w:pPr>
      <w:r>
        <w:t xml:space="preserve">Obtain </w:t>
      </w:r>
      <w:r w:rsidR="007E34E5">
        <w:t xml:space="preserve">DER </w:t>
      </w:r>
      <w:r>
        <w:t>modeling</w:t>
      </w:r>
      <w:r w:rsidR="007E34E5">
        <w:t xml:space="preserve"> and performance</w:t>
      </w:r>
      <w:r>
        <w:t xml:space="preserve"> data to enable </w:t>
      </w:r>
      <w:r w:rsidR="007E34E5">
        <w:t xml:space="preserve">Operational Planning </w:t>
      </w:r>
      <w:r>
        <w:t>of the BES</w:t>
      </w:r>
    </w:p>
    <w:p w14:paraId="47260863" w14:textId="77777777" w:rsidR="002617CC" w:rsidRPr="002617CC" w:rsidRDefault="002617CC" w:rsidP="007E34E5">
      <w:pPr>
        <w:pStyle w:val="ListParagraph"/>
        <w:numPr>
          <w:ilvl w:val="0"/>
          <w:numId w:val="22"/>
        </w:numPr>
      </w:pPr>
      <w:r w:rsidRPr="002617CC">
        <w:t>Clearly identify DER in the NPCC Region’s Area queues, where DER is being proposed for installation and the magnitudes relative to the existing resource base and load projections.</w:t>
      </w:r>
    </w:p>
    <w:p w14:paraId="7BE3E9E1" w14:textId="77777777" w:rsidR="002617CC" w:rsidRDefault="002617CC" w:rsidP="002617CC">
      <w:pPr>
        <w:pStyle w:val="ListParagraph"/>
        <w:numPr>
          <w:ilvl w:val="0"/>
          <w:numId w:val="22"/>
        </w:numPr>
      </w:pPr>
      <w:r>
        <w:t>Obtain modeling data to enable modelling of the BES for the purposes of Long-Term Resource Planning with DER</w:t>
      </w:r>
    </w:p>
    <w:p w14:paraId="71905F30" w14:textId="77777777" w:rsidR="002617CC" w:rsidRDefault="002617CC" w:rsidP="002617CC">
      <w:pPr>
        <w:pStyle w:val="ListParagraph"/>
        <w:numPr>
          <w:ilvl w:val="0"/>
          <w:numId w:val="22"/>
        </w:numPr>
      </w:pPr>
      <w:r>
        <w:t>Obtain modeling data to enable modelling of the BES for the purposes of Long-Term Transmission Planning</w:t>
      </w:r>
    </w:p>
    <w:p w14:paraId="4AA0976B" w14:textId="77777777" w:rsidR="002617CC" w:rsidRPr="002617CC" w:rsidRDefault="002617CC" w:rsidP="002617CC">
      <w:pPr>
        <w:pStyle w:val="ListParagraph"/>
        <w:numPr>
          <w:ilvl w:val="0"/>
          <w:numId w:val="22"/>
        </w:numPr>
      </w:pPr>
      <w:r w:rsidRPr="002617CC">
        <w:t>Address masking of load by DER at the distribution level to ascertain its impact on the assumptions that underpin UFLS programs</w:t>
      </w:r>
    </w:p>
    <w:p w14:paraId="53A11D9D" w14:textId="74FFB088" w:rsidR="002617CC" w:rsidRPr="009F74D1" w:rsidRDefault="002617CC" w:rsidP="009F74D1">
      <w:pPr>
        <w:rPr>
          <w:u w:val="single"/>
        </w:rPr>
      </w:pPr>
      <w:r w:rsidRPr="009F74D1">
        <w:rPr>
          <w:u w:val="single"/>
        </w:rPr>
        <w:lastRenderedPageBreak/>
        <w:t>Analytics and simulation recommendations to deal with increase system complexity</w:t>
      </w:r>
    </w:p>
    <w:p w14:paraId="66F9FAE1" w14:textId="77777777" w:rsidR="002617CC" w:rsidRPr="002617CC" w:rsidRDefault="002617CC" w:rsidP="002617CC">
      <w:pPr>
        <w:pStyle w:val="ListParagraph"/>
        <w:numPr>
          <w:ilvl w:val="0"/>
          <w:numId w:val="22"/>
        </w:numPr>
      </w:pPr>
      <w:r w:rsidRPr="002617CC">
        <w:t xml:space="preserve">Support interconnection wide inertia loss study efforts, to determine potential reliability impacts, as DER increasingly replaces conventional synchronous generation resources. </w:t>
      </w:r>
    </w:p>
    <w:p w14:paraId="1F1A8AB1" w14:textId="77777777" w:rsidR="002617CC" w:rsidRDefault="002617CC" w:rsidP="002617CC">
      <w:pPr>
        <w:pStyle w:val="ListParagraph"/>
        <w:numPr>
          <w:ilvl w:val="0"/>
          <w:numId w:val="22"/>
        </w:numPr>
      </w:pPr>
      <w:r>
        <w:t>Obtain modelling data to be able to predict and examine system behavior and assess the interactions between the new resources and the existing reliability preserving systems and programs. Examples include:</w:t>
      </w:r>
    </w:p>
    <w:p w14:paraId="584772EE" w14:textId="77777777" w:rsidR="002617CC" w:rsidRDefault="002617CC" w:rsidP="009F74D1">
      <w:pPr>
        <w:pStyle w:val="ListParagraph"/>
        <w:numPr>
          <w:ilvl w:val="1"/>
          <w:numId w:val="22"/>
        </w:numPr>
      </w:pPr>
      <w:r>
        <w:t xml:space="preserve">Under Frequency Load Shedding, </w:t>
      </w:r>
    </w:p>
    <w:p w14:paraId="4810EB01" w14:textId="77777777" w:rsidR="002617CC" w:rsidRDefault="002617CC" w:rsidP="009F74D1">
      <w:pPr>
        <w:pStyle w:val="ListParagraph"/>
        <w:numPr>
          <w:ilvl w:val="1"/>
          <w:numId w:val="22"/>
        </w:numPr>
      </w:pPr>
      <w:r>
        <w:t xml:space="preserve">Under Voltage Load Shedding, </w:t>
      </w:r>
    </w:p>
    <w:p w14:paraId="4C145756" w14:textId="77777777" w:rsidR="002617CC" w:rsidRDefault="002617CC" w:rsidP="009F74D1">
      <w:pPr>
        <w:pStyle w:val="ListParagraph"/>
        <w:numPr>
          <w:ilvl w:val="1"/>
          <w:numId w:val="22"/>
        </w:numPr>
      </w:pPr>
      <w:r>
        <w:t>Frequency response sharing mechanisms (BAL standards).</w:t>
      </w:r>
    </w:p>
    <w:p w14:paraId="43674D24" w14:textId="77777777" w:rsidR="002617CC" w:rsidRDefault="002617CC" w:rsidP="009F74D1">
      <w:pPr>
        <w:pStyle w:val="ListParagraph"/>
        <w:numPr>
          <w:ilvl w:val="1"/>
          <w:numId w:val="22"/>
        </w:numPr>
      </w:pPr>
      <w:r>
        <w:t>Analysis of system protection systems (both T and D) so that the parameters to set protection systems and other control systems are known so as to permit the most reliability benefits to be garnered from the new resources.</w:t>
      </w:r>
    </w:p>
    <w:p w14:paraId="4A82D253" w14:textId="77777777" w:rsidR="006F55D7" w:rsidRDefault="006F55D7" w:rsidP="00DF3AB1"/>
    <w:p w14:paraId="17CB9E7C" w14:textId="77777777" w:rsidR="00A7240F" w:rsidRDefault="00A7240F" w:rsidP="00DF3AB1"/>
    <w:p w14:paraId="798BB6D6" w14:textId="77777777" w:rsidR="00A7240F" w:rsidRDefault="00A7240F" w:rsidP="00DF3AB1"/>
    <w:p w14:paraId="7FF22DFE" w14:textId="77777777" w:rsidR="00A7240F" w:rsidRDefault="00A7240F" w:rsidP="00DF3AB1"/>
    <w:p w14:paraId="08DB6C07" w14:textId="77777777" w:rsidR="00A7240F" w:rsidRDefault="00A7240F" w:rsidP="00DF3AB1"/>
    <w:p w14:paraId="64CBFAAB" w14:textId="77777777" w:rsidR="00A7240F" w:rsidRDefault="00A7240F" w:rsidP="00DF3AB1"/>
    <w:p w14:paraId="005C5FD2" w14:textId="77777777" w:rsidR="00A7240F" w:rsidRDefault="00A7240F" w:rsidP="00DF3AB1"/>
    <w:p w14:paraId="72D4ABC4" w14:textId="77777777" w:rsidR="00A7240F" w:rsidRDefault="00A7240F" w:rsidP="00DF3AB1"/>
    <w:p w14:paraId="63CE6C0C" w14:textId="77777777" w:rsidR="009B3C7C" w:rsidRDefault="009B3C7C" w:rsidP="000863B7">
      <w:pPr>
        <w:pStyle w:val="Heading1"/>
        <w:spacing w:line="480" w:lineRule="auto"/>
      </w:pPr>
      <w:bookmarkStart w:id="26" w:name="_Toc10106990"/>
      <w:r>
        <w:t>Appendix A NPCC DER Impact Reporting Form</w:t>
      </w:r>
      <w:bookmarkEnd w:id="26"/>
    </w:p>
    <w:p w14:paraId="0113FB87" w14:textId="77777777" w:rsidR="00D92C95" w:rsidRPr="00D92C95" w:rsidRDefault="00D92C95" w:rsidP="00714830">
      <w:pPr>
        <w:rPr>
          <w:kern w:val="28"/>
          <w:szCs w:val="56"/>
          <w:lang w:eastAsia="ja-JP"/>
        </w:rPr>
      </w:pPr>
      <w:r w:rsidRPr="00D92C95">
        <w:rPr>
          <w:noProof/>
        </w:rPr>
        <w:drawing>
          <wp:inline distT="0" distB="0" distL="0" distR="0" wp14:anchorId="7E2D6314" wp14:editId="2E3EF712">
            <wp:extent cx="6938010" cy="898525"/>
            <wp:effectExtent l="0" t="0" r="0" b="0"/>
            <wp:docPr id="16" name="Picture 16" descr="O:\NPCC Graphics\NPCC Logo\NPCC Logos\NPCC_Inc_1040_Logo_with_T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PCC Graphics\NPCC Logo\NPCC Logos\NPCC_Inc_1040_Logo_with_Text.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938010" cy="898525"/>
                    </a:xfrm>
                    <a:prstGeom prst="rect">
                      <a:avLst/>
                    </a:prstGeom>
                    <a:noFill/>
                    <a:ln>
                      <a:noFill/>
                    </a:ln>
                  </pic:spPr>
                </pic:pic>
              </a:graphicData>
            </a:graphic>
          </wp:inline>
        </w:drawing>
      </w:r>
    </w:p>
    <w:p w14:paraId="76A5247C" w14:textId="77777777" w:rsidR="00D92C95" w:rsidRPr="00D92C95" w:rsidRDefault="00D92C95" w:rsidP="00714830">
      <w:pPr>
        <w:rPr>
          <w:color w:val="FF0000"/>
          <w:kern w:val="28"/>
          <w:sz w:val="20"/>
          <w:szCs w:val="20"/>
          <w:lang w:eastAsia="ja-JP"/>
        </w:rPr>
      </w:pPr>
    </w:p>
    <w:p w14:paraId="38759CF7" w14:textId="77777777" w:rsidR="00D92C95" w:rsidRPr="00D92C95" w:rsidRDefault="00D92C95" w:rsidP="00714830">
      <w:pPr>
        <w:rPr>
          <w:kern w:val="28"/>
          <w:lang w:eastAsia="ja-JP"/>
        </w:rPr>
      </w:pPr>
      <w:r w:rsidRPr="00D92C95">
        <w:rPr>
          <w:color w:val="FF0000"/>
          <w:kern w:val="28"/>
          <w:sz w:val="20"/>
          <w:szCs w:val="20"/>
          <w:shd w:val="clear" w:color="auto" w:fill="FFFF00"/>
          <w:lang w:eastAsia="ja-JP"/>
        </w:rPr>
        <w:t>Please Complete and email this form to;   npccstandard@npcc.org</w:t>
      </w:r>
      <w:r w:rsidRPr="00D92C95">
        <w:rPr>
          <w:kern w:val="28"/>
          <w:lang w:eastAsia="ja-JP"/>
        </w:rPr>
        <w:t xml:space="preserve"> </w:t>
      </w:r>
    </w:p>
    <w:p w14:paraId="13136EC0" w14:textId="77777777" w:rsidR="00D92C95" w:rsidRPr="00D92C95" w:rsidRDefault="00D92C95" w:rsidP="00714830">
      <w:pPr>
        <w:rPr>
          <w:color w:val="000000"/>
          <w:kern w:val="28"/>
          <w:sz w:val="32"/>
          <w:szCs w:val="32"/>
          <w:lang w:eastAsia="ja-JP"/>
        </w:rPr>
      </w:pPr>
      <w:r w:rsidRPr="00D92C95">
        <w:rPr>
          <w:color w:val="000000"/>
          <w:kern w:val="28"/>
          <w:sz w:val="32"/>
          <w:szCs w:val="32"/>
          <w:lang w:eastAsia="ja-JP"/>
        </w:rPr>
        <w:t>Distributed Energy Resource (DER), BES I</w:t>
      </w:r>
      <w:r w:rsidR="0064206C">
        <w:rPr>
          <w:color w:val="000000"/>
          <w:kern w:val="28"/>
          <w:sz w:val="32"/>
          <w:szCs w:val="32"/>
          <w:lang w:eastAsia="ja-JP"/>
        </w:rPr>
        <w:t>m</w:t>
      </w:r>
      <w:r w:rsidRPr="00D92C95">
        <w:rPr>
          <w:color w:val="000000"/>
          <w:kern w:val="28"/>
          <w:sz w:val="32"/>
          <w:szCs w:val="32"/>
          <w:lang w:eastAsia="ja-JP"/>
        </w:rPr>
        <w:t>pact Reporting Form</w:t>
      </w:r>
    </w:p>
    <w:tbl>
      <w:tblPr>
        <w:tblStyle w:val="PlainTable31"/>
        <w:tblW w:w="5000" w:type="pct"/>
        <w:tblCellMar>
          <w:top w:w="14" w:type="dxa"/>
          <w:left w:w="0" w:type="dxa"/>
          <w:bottom w:w="14" w:type="dxa"/>
          <w:right w:w="0" w:type="dxa"/>
        </w:tblCellMar>
        <w:tblLook w:val="0420" w:firstRow="1" w:lastRow="0" w:firstColumn="0" w:lastColumn="0" w:noHBand="0" w:noVBand="1"/>
        <w:tblDescription w:val="Contact information table"/>
      </w:tblPr>
      <w:tblGrid>
        <w:gridCol w:w="1514"/>
        <w:gridCol w:w="2852"/>
        <w:gridCol w:w="1599"/>
        <w:gridCol w:w="3349"/>
      </w:tblGrid>
      <w:tr w:rsidR="00D92C95" w:rsidRPr="00D92C95" w14:paraId="21FA628E" w14:textId="77777777" w:rsidTr="00D92C95">
        <w:trPr>
          <w:cnfStyle w:val="100000000000" w:firstRow="1" w:lastRow="0" w:firstColumn="0" w:lastColumn="0" w:oddVBand="0" w:evenVBand="0" w:oddHBand="0" w:evenHBand="0" w:firstRowFirstColumn="0" w:firstRowLastColumn="0" w:lastRowFirstColumn="0" w:lastRowLastColumn="0"/>
        </w:trPr>
        <w:sdt>
          <w:sdtPr>
            <w:rPr>
              <w:color w:val="000000"/>
              <w:szCs w:val="36"/>
            </w:rPr>
            <w:id w:val="-777867703"/>
            <w:placeholder>
              <w:docPart w:val="044B1904CE784689B4384224920E0316"/>
            </w:placeholder>
            <w:temporary/>
            <w:showingPlcHdr/>
          </w:sdtPr>
          <w:sdtContent>
            <w:tc>
              <w:tcPr>
                <w:tcW w:w="1755" w:type="dxa"/>
                <w:tcBorders>
                  <w:left w:val="single" w:sz="18" w:space="0" w:color="FFFFFF"/>
                </w:tcBorders>
                <w:shd w:val="clear" w:color="auto" w:fill="auto"/>
              </w:tcPr>
              <w:p w14:paraId="6B8C6602" w14:textId="77777777" w:rsidR="00D92C95" w:rsidRPr="00D92C95" w:rsidRDefault="00D92C95" w:rsidP="00714830">
                <w:pPr>
                  <w:rPr>
                    <w:b w:val="0"/>
                    <w:color w:val="000000"/>
                    <w:szCs w:val="36"/>
                  </w:rPr>
                </w:pPr>
                <w:r w:rsidRPr="00D92C95">
                  <w:rPr>
                    <w:color w:val="000000"/>
                    <w:szCs w:val="36"/>
                  </w:rPr>
                  <w:t>Name</w:t>
                </w:r>
              </w:p>
            </w:tc>
          </w:sdtContent>
        </w:sdt>
        <w:tc>
          <w:tcPr>
            <w:tcW w:w="3608" w:type="dxa"/>
            <w:tcMar>
              <w:right w:w="216" w:type="dxa"/>
            </w:tcMar>
          </w:tcPr>
          <w:p w14:paraId="043245A7" w14:textId="77777777" w:rsidR="00D92C95" w:rsidRPr="00D92C95" w:rsidRDefault="00D92C95" w:rsidP="00714830">
            <w:pPr>
              <w:rPr>
                <w:color w:val="000000"/>
              </w:rPr>
            </w:pPr>
          </w:p>
        </w:tc>
        <w:tc>
          <w:tcPr>
            <w:tcW w:w="1815" w:type="dxa"/>
            <w:shd w:val="clear" w:color="auto" w:fill="auto"/>
          </w:tcPr>
          <w:p w14:paraId="17A6D2F0" w14:textId="77777777" w:rsidR="00D92C95" w:rsidRPr="00D92C95" w:rsidRDefault="00D92C95" w:rsidP="00714830">
            <w:pPr>
              <w:rPr>
                <w:color w:val="000000"/>
                <w:szCs w:val="36"/>
              </w:rPr>
            </w:pPr>
            <w:r w:rsidRPr="00D92C95">
              <w:rPr>
                <w:color w:val="000000"/>
                <w:szCs w:val="36"/>
              </w:rPr>
              <w:t>Date</w:t>
            </w:r>
          </w:p>
        </w:tc>
        <w:tc>
          <w:tcPr>
            <w:tcW w:w="4297" w:type="dxa"/>
            <w:tcBorders>
              <w:right w:val="single" w:sz="18" w:space="0" w:color="FFFFFF"/>
            </w:tcBorders>
          </w:tcPr>
          <w:p w14:paraId="75F70EA9" w14:textId="77777777" w:rsidR="00D92C95" w:rsidRPr="00D92C95" w:rsidRDefault="00D92C95" w:rsidP="00714830">
            <w:pPr>
              <w:rPr>
                <w:color w:val="000000"/>
              </w:rPr>
            </w:pPr>
          </w:p>
        </w:tc>
      </w:tr>
      <w:tr w:rsidR="00D92C95" w:rsidRPr="00D92C95" w14:paraId="47CE59D0" w14:textId="77777777" w:rsidTr="00D92C95">
        <w:trPr>
          <w:cnfStyle w:val="000000100000" w:firstRow="0" w:lastRow="0" w:firstColumn="0" w:lastColumn="0" w:oddVBand="0" w:evenVBand="0" w:oddHBand="1" w:evenHBand="0" w:firstRowFirstColumn="0" w:firstRowLastColumn="0" w:lastRowFirstColumn="0" w:lastRowLastColumn="0"/>
        </w:trPr>
        <w:tc>
          <w:tcPr>
            <w:tcW w:w="1755" w:type="dxa"/>
            <w:tcBorders>
              <w:left w:val="single" w:sz="18" w:space="0" w:color="FFFFFF"/>
            </w:tcBorders>
            <w:shd w:val="clear" w:color="auto" w:fill="auto"/>
          </w:tcPr>
          <w:p w14:paraId="1DA3B07D" w14:textId="77777777" w:rsidR="00D92C95" w:rsidRPr="00D92C95" w:rsidRDefault="00F24DDC" w:rsidP="00714830">
            <w:pPr>
              <w:rPr>
                <w:color w:val="000000"/>
                <w:szCs w:val="36"/>
              </w:rPr>
            </w:pPr>
            <w:sdt>
              <w:sdtPr>
                <w:rPr>
                  <w:color w:val="000000"/>
                  <w:szCs w:val="36"/>
                </w:rPr>
                <w:id w:val="2122878195"/>
                <w:temporary/>
                <w:showingPlcHdr/>
              </w:sdtPr>
              <w:sdtContent>
                <w:r w:rsidR="00D92C95" w:rsidRPr="00D92C95">
                  <w:rPr>
                    <w:color w:val="000000"/>
                    <w:szCs w:val="36"/>
                  </w:rPr>
                  <w:t>Email</w:t>
                </w:r>
              </w:sdtContent>
            </w:sdt>
          </w:p>
        </w:tc>
        <w:tc>
          <w:tcPr>
            <w:tcW w:w="3608" w:type="dxa"/>
            <w:tcMar>
              <w:right w:w="216" w:type="dxa"/>
            </w:tcMar>
          </w:tcPr>
          <w:p w14:paraId="2BB66927" w14:textId="77777777" w:rsidR="00D92C95" w:rsidRPr="00D92C95" w:rsidRDefault="00D92C95" w:rsidP="00714830">
            <w:pPr>
              <w:rPr>
                <w:color w:val="000000"/>
              </w:rPr>
            </w:pPr>
          </w:p>
        </w:tc>
        <w:tc>
          <w:tcPr>
            <w:tcW w:w="1815" w:type="dxa"/>
            <w:shd w:val="clear" w:color="auto" w:fill="auto"/>
          </w:tcPr>
          <w:p w14:paraId="0FECCA6C" w14:textId="77777777" w:rsidR="00D92C95" w:rsidRPr="00D92C95" w:rsidRDefault="00D92C95" w:rsidP="00714830">
            <w:pPr>
              <w:rPr>
                <w:color w:val="000000"/>
                <w:szCs w:val="36"/>
              </w:rPr>
            </w:pPr>
            <w:r w:rsidRPr="00D92C95">
              <w:rPr>
                <w:color w:val="000000"/>
                <w:szCs w:val="36"/>
              </w:rPr>
              <w:t>Company</w:t>
            </w:r>
          </w:p>
        </w:tc>
        <w:tc>
          <w:tcPr>
            <w:tcW w:w="4297" w:type="dxa"/>
            <w:tcBorders>
              <w:right w:val="single" w:sz="18" w:space="0" w:color="FFFFFF"/>
            </w:tcBorders>
          </w:tcPr>
          <w:p w14:paraId="0A1E4F21" w14:textId="77777777" w:rsidR="00D92C95" w:rsidRPr="00D92C95" w:rsidRDefault="00D92C95" w:rsidP="00714830">
            <w:pPr>
              <w:rPr>
                <w:color w:val="000000"/>
              </w:rPr>
            </w:pPr>
          </w:p>
        </w:tc>
      </w:tr>
      <w:tr w:rsidR="00D92C95" w:rsidRPr="00D92C95" w14:paraId="4F6DF37D" w14:textId="77777777" w:rsidTr="00D92C95">
        <w:tc>
          <w:tcPr>
            <w:tcW w:w="1755" w:type="dxa"/>
            <w:shd w:val="clear" w:color="auto" w:fill="auto"/>
          </w:tcPr>
          <w:p w14:paraId="52585C93" w14:textId="77777777" w:rsidR="00D92C95" w:rsidRPr="00D92C95" w:rsidRDefault="00D92C95" w:rsidP="00714830">
            <w:pPr>
              <w:rPr>
                <w:color w:val="000000"/>
                <w:szCs w:val="36"/>
              </w:rPr>
            </w:pPr>
            <w:r w:rsidRPr="00D92C95">
              <w:rPr>
                <w:color w:val="000000"/>
                <w:szCs w:val="36"/>
              </w:rPr>
              <w:t>Impact on Bulk Electric System</w:t>
            </w:r>
          </w:p>
        </w:tc>
        <w:tc>
          <w:tcPr>
            <w:tcW w:w="3608" w:type="dxa"/>
            <w:tcBorders>
              <w:right w:val="single" w:sz="18" w:space="0" w:color="FFFFFF"/>
            </w:tcBorders>
          </w:tcPr>
          <w:p w14:paraId="22E44F57" w14:textId="77777777" w:rsidR="00D92C95" w:rsidRPr="00D92C95" w:rsidRDefault="00D92C95" w:rsidP="00714830">
            <w:pPr>
              <w:rPr>
                <w:color w:val="000000"/>
              </w:rPr>
            </w:pPr>
          </w:p>
        </w:tc>
        <w:tc>
          <w:tcPr>
            <w:tcW w:w="1815" w:type="dxa"/>
            <w:shd w:val="clear" w:color="auto" w:fill="FFFFFF"/>
          </w:tcPr>
          <w:p w14:paraId="2BC49193" w14:textId="77777777" w:rsidR="00D92C95" w:rsidRPr="00D92C95" w:rsidRDefault="00D92C95" w:rsidP="00714830">
            <w:pPr>
              <w:rPr>
                <w:color w:val="000000"/>
                <w:szCs w:val="36"/>
              </w:rPr>
            </w:pPr>
            <w:r w:rsidRPr="00D92C95">
              <w:rPr>
                <w:color w:val="000000"/>
                <w:szCs w:val="36"/>
              </w:rPr>
              <w:t>Area (NY, NE, State or Province etc.)</w:t>
            </w:r>
          </w:p>
        </w:tc>
        <w:tc>
          <w:tcPr>
            <w:tcW w:w="4297" w:type="dxa"/>
          </w:tcPr>
          <w:p w14:paraId="2F118D7E" w14:textId="77777777" w:rsidR="00D92C95" w:rsidRPr="00D92C95" w:rsidRDefault="00D92C95" w:rsidP="00714830">
            <w:pPr>
              <w:rPr>
                <w:color w:val="000000"/>
              </w:rPr>
            </w:pPr>
          </w:p>
        </w:tc>
      </w:tr>
    </w:tbl>
    <w:p w14:paraId="4822DEA6" w14:textId="77777777" w:rsidR="00D92C95" w:rsidRPr="00D92C95" w:rsidRDefault="00D92C95" w:rsidP="00714830">
      <w:pPr>
        <w:rPr>
          <w:color w:val="000000"/>
          <w:sz w:val="24"/>
          <w:lang w:eastAsia="ja-JP"/>
        </w:rPr>
      </w:pPr>
      <w:r w:rsidRPr="00D92C95">
        <w:rPr>
          <w:color w:val="000000"/>
          <w:sz w:val="24"/>
          <w:lang w:eastAsia="ja-JP"/>
        </w:rPr>
        <w:t>Equipment Impacted</w:t>
      </w:r>
    </w:p>
    <w:tbl>
      <w:tblPr>
        <w:tblStyle w:val="PlainTable31"/>
        <w:tblW w:w="5000" w:type="pct"/>
        <w:tblLook w:val="0420" w:firstRow="1" w:lastRow="0" w:firstColumn="0" w:lastColumn="0" w:noHBand="0" w:noVBand="1"/>
        <w:tblDescription w:val="Trip hours table"/>
      </w:tblPr>
      <w:tblGrid>
        <w:gridCol w:w="1372"/>
        <w:gridCol w:w="1367"/>
        <w:gridCol w:w="4375"/>
        <w:gridCol w:w="2200"/>
      </w:tblGrid>
      <w:tr w:rsidR="00D92C95" w:rsidRPr="00D92C95" w14:paraId="2DEFA327" w14:textId="77777777" w:rsidTr="00714830">
        <w:trPr>
          <w:cnfStyle w:val="100000000000" w:firstRow="1" w:lastRow="0" w:firstColumn="0" w:lastColumn="0" w:oddVBand="0" w:evenVBand="0" w:oddHBand="0" w:evenHBand="0" w:firstRowFirstColumn="0" w:firstRowLastColumn="0" w:lastRowFirstColumn="0" w:lastRowLastColumn="0"/>
        </w:trPr>
        <w:tc>
          <w:tcPr>
            <w:tcW w:w="1469" w:type="dxa"/>
            <w:shd w:val="clear" w:color="auto" w:fill="0070C0"/>
          </w:tcPr>
          <w:p w14:paraId="7CC450C8" w14:textId="77777777" w:rsidR="00D92C95" w:rsidRPr="00D92C95" w:rsidRDefault="00D92C95" w:rsidP="00714830">
            <w:pPr>
              <w:rPr>
                <w:color w:val="FFFFFF"/>
                <w:szCs w:val="36"/>
              </w:rPr>
            </w:pPr>
            <w:r w:rsidRPr="00D92C95">
              <w:rPr>
                <w:color w:val="FFFFFF"/>
                <w:szCs w:val="36"/>
              </w:rPr>
              <w:t>Equipment</w:t>
            </w:r>
          </w:p>
        </w:tc>
        <w:tc>
          <w:tcPr>
            <w:tcW w:w="1462" w:type="dxa"/>
            <w:shd w:val="clear" w:color="auto" w:fill="0070C0"/>
          </w:tcPr>
          <w:p w14:paraId="125BF7A1" w14:textId="77777777" w:rsidR="00D92C95" w:rsidRPr="00D92C95" w:rsidRDefault="00D92C95" w:rsidP="00714830">
            <w:pPr>
              <w:rPr>
                <w:color w:val="FFFFFF"/>
                <w:szCs w:val="36"/>
              </w:rPr>
            </w:pPr>
            <w:r w:rsidRPr="00D92C95">
              <w:rPr>
                <w:color w:val="FFFFFF"/>
                <w:szCs w:val="36"/>
              </w:rPr>
              <w:t xml:space="preserve">Location </w:t>
            </w:r>
            <w:r w:rsidRPr="00D92C95">
              <w:rPr>
                <w:b w:val="0"/>
                <w:color w:val="FFFFFF"/>
                <w:szCs w:val="36"/>
              </w:rPr>
              <w:t>(substation name, etc.)</w:t>
            </w:r>
          </w:p>
        </w:tc>
        <w:tc>
          <w:tcPr>
            <w:tcW w:w="5776" w:type="dxa"/>
            <w:shd w:val="clear" w:color="auto" w:fill="0070C0"/>
          </w:tcPr>
          <w:p w14:paraId="6D378F69" w14:textId="77777777" w:rsidR="00D92C95" w:rsidRPr="00D92C95" w:rsidRDefault="00D92C95" w:rsidP="00714830">
            <w:pPr>
              <w:rPr>
                <w:color w:val="FFFFFF"/>
                <w:szCs w:val="36"/>
              </w:rPr>
            </w:pPr>
            <w:r w:rsidRPr="00D92C95">
              <w:rPr>
                <w:color w:val="FFFFFF"/>
                <w:szCs w:val="36"/>
              </w:rPr>
              <w:t>Impact</w:t>
            </w:r>
            <w:r w:rsidRPr="00D92C95">
              <w:rPr>
                <w:b w:val="0"/>
                <w:color w:val="FFFFFF"/>
                <w:szCs w:val="36"/>
              </w:rPr>
              <w:t xml:space="preserve"> (Positive reliability impact? Negative reliability impact-Protection System failure, Misoperation, load affected or lost?, power quality issue?, etc)</w:t>
            </w:r>
          </w:p>
        </w:tc>
        <w:tc>
          <w:tcPr>
            <w:tcW w:w="2767" w:type="dxa"/>
            <w:shd w:val="clear" w:color="auto" w:fill="0070C0"/>
          </w:tcPr>
          <w:p w14:paraId="0785AAA1" w14:textId="77777777" w:rsidR="00D92C95" w:rsidRPr="00D92C95" w:rsidRDefault="00D92C95" w:rsidP="00714830">
            <w:pPr>
              <w:rPr>
                <w:color w:val="FFFFFF"/>
                <w:szCs w:val="36"/>
              </w:rPr>
            </w:pPr>
            <w:r w:rsidRPr="00D92C95">
              <w:rPr>
                <w:color w:val="FFFFFF"/>
                <w:szCs w:val="36"/>
              </w:rPr>
              <w:t xml:space="preserve">Duration of Impact, </w:t>
            </w:r>
            <w:r w:rsidRPr="00D92C95">
              <w:rPr>
                <w:b w:val="0"/>
                <w:color w:val="FFFFFF"/>
                <w:szCs w:val="36"/>
              </w:rPr>
              <w:t>(start and stop times, length of impact, ongoing? etc.)</w:t>
            </w:r>
          </w:p>
        </w:tc>
      </w:tr>
      <w:tr w:rsidR="00D92C95" w:rsidRPr="00D92C95" w14:paraId="417B2E35"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5D52DFA4" w14:textId="77777777" w:rsidR="00D92C95" w:rsidRPr="00D92C95" w:rsidRDefault="00D92C95" w:rsidP="00714830"/>
        </w:tc>
        <w:tc>
          <w:tcPr>
            <w:tcW w:w="1462" w:type="dxa"/>
          </w:tcPr>
          <w:p w14:paraId="4F5A7390" w14:textId="77777777" w:rsidR="00D92C95" w:rsidRPr="00D92C95" w:rsidRDefault="00D92C95" w:rsidP="00714830"/>
        </w:tc>
        <w:tc>
          <w:tcPr>
            <w:tcW w:w="5776" w:type="dxa"/>
          </w:tcPr>
          <w:p w14:paraId="5C10451C" w14:textId="77777777" w:rsidR="00D92C95" w:rsidRPr="00D92C95" w:rsidRDefault="00D92C95" w:rsidP="00714830"/>
        </w:tc>
        <w:tc>
          <w:tcPr>
            <w:tcW w:w="2767" w:type="dxa"/>
          </w:tcPr>
          <w:p w14:paraId="77382F4A" w14:textId="77777777" w:rsidR="00D92C95" w:rsidRPr="00D92C95" w:rsidRDefault="00D92C95" w:rsidP="00714830"/>
        </w:tc>
      </w:tr>
      <w:tr w:rsidR="00D92C95" w:rsidRPr="00D92C95" w14:paraId="3B7821F7" w14:textId="77777777" w:rsidTr="00D92C95">
        <w:tc>
          <w:tcPr>
            <w:tcW w:w="1469" w:type="dxa"/>
          </w:tcPr>
          <w:p w14:paraId="2DA878B4" w14:textId="77777777" w:rsidR="00D92C95" w:rsidRPr="00D92C95" w:rsidRDefault="00D92C95" w:rsidP="00714830"/>
        </w:tc>
        <w:tc>
          <w:tcPr>
            <w:tcW w:w="1462" w:type="dxa"/>
          </w:tcPr>
          <w:p w14:paraId="332B55E0" w14:textId="77777777" w:rsidR="00D92C95" w:rsidRPr="00D92C95" w:rsidRDefault="00D92C95" w:rsidP="00714830"/>
        </w:tc>
        <w:tc>
          <w:tcPr>
            <w:tcW w:w="5776" w:type="dxa"/>
          </w:tcPr>
          <w:p w14:paraId="208A4CF7" w14:textId="77777777" w:rsidR="00D92C95" w:rsidRPr="00D92C95" w:rsidRDefault="00D92C95" w:rsidP="00714830"/>
        </w:tc>
        <w:tc>
          <w:tcPr>
            <w:tcW w:w="2767" w:type="dxa"/>
          </w:tcPr>
          <w:p w14:paraId="74B76A5B" w14:textId="77777777" w:rsidR="00D92C95" w:rsidRPr="00D92C95" w:rsidRDefault="00D92C95" w:rsidP="00714830"/>
        </w:tc>
      </w:tr>
      <w:tr w:rsidR="00D92C95" w:rsidRPr="00D92C95" w14:paraId="128AFF85" w14:textId="77777777" w:rsidTr="00D92C95">
        <w:trPr>
          <w:cnfStyle w:val="000000100000" w:firstRow="0" w:lastRow="0" w:firstColumn="0" w:lastColumn="0" w:oddVBand="0" w:evenVBand="0" w:oddHBand="1" w:evenHBand="0" w:firstRowFirstColumn="0" w:firstRowLastColumn="0" w:lastRowFirstColumn="0" w:lastRowLastColumn="0"/>
        </w:trPr>
        <w:tc>
          <w:tcPr>
            <w:tcW w:w="1469" w:type="dxa"/>
          </w:tcPr>
          <w:p w14:paraId="0ABBD2C8" w14:textId="77777777" w:rsidR="00D92C95" w:rsidRPr="00D92C95" w:rsidRDefault="00D92C95" w:rsidP="00714830"/>
        </w:tc>
        <w:tc>
          <w:tcPr>
            <w:tcW w:w="1462" w:type="dxa"/>
          </w:tcPr>
          <w:p w14:paraId="6291F229" w14:textId="77777777" w:rsidR="00D92C95" w:rsidRPr="00D92C95" w:rsidRDefault="00D92C95" w:rsidP="00714830"/>
        </w:tc>
        <w:tc>
          <w:tcPr>
            <w:tcW w:w="5776" w:type="dxa"/>
          </w:tcPr>
          <w:p w14:paraId="1403EEE1" w14:textId="77777777" w:rsidR="00D92C95" w:rsidRPr="00D92C95" w:rsidRDefault="00D92C95" w:rsidP="00714830"/>
        </w:tc>
        <w:tc>
          <w:tcPr>
            <w:tcW w:w="2767" w:type="dxa"/>
          </w:tcPr>
          <w:p w14:paraId="75EFFB5C" w14:textId="77777777" w:rsidR="00D92C95" w:rsidRPr="00D92C95" w:rsidRDefault="00D92C95" w:rsidP="00714830"/>
        </w:tc>
      </w:tr>
    </w:tbl>
    <w:p w14:paraId="797957F8" w14:textId="77777777" w:rsidR="00D92C95" w:rsidRPr="00D92C95" w:rsidRDefault="00D92C95" w:rsidP="00714830">
      <w:pPr>
        <w:rPr>
          <w:color w:val="0070C0"/>
          <w:sz w:val="24"/>
          <w:lang w:eastAsia="ja-JP"/>
        </w:rPr>
      </w:pPr>
      <w:r w:rsidRPr="00D92C95">
        <w:rPr>
          <w:color w:val="000000"/>
          <w:sz w:val="24"/>
          <w:lang w:eastAsia="ja-JP"/>
        </w:rPr>
        <w:t>Description of I</w:t>
      </w:r>
      <w:r w:rsidR="0064206C">
        <w:rPr>
          <w:color w:val="000000"/>
          <w:sz w:val="24"/>
          <w:lang w:eastAsia="ja-JP"/>
        </w:rPr>
        <w:t>m</w:t>
      </w:r>
      <w:r w:rsidRPr="00D92C95">
        <w:rPr>
          <w:color w:val="000000"/>
          <w:sz w:val="24"/>
          <w:lang w:eastAsia="ja-JP"/>
        </w:rPr>
        <w:t xml:space="preserve">pact on BES- What Happened or was observed?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4EB4536B"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3F30D050" w14:textId="77777777" w:rsidR="00D92C95" w:rsidRPr="00D92C95" w:rsidRDefault="00D92C95" w:rsidP="00714830">
            <w:pPr>
              <w:rPr>
                <w:color w:val="FFFFFF"/>
                <w:szCs w:val="36"/>
              </w:rPr>
            </w:pPr>
            <w:r w:rsidRPr="00D92C95">
              <w:rPr>
                <w:color w:val="FFFFFF"/>
                <w:szCs w:val="36"/>
              </w:rPr>
              <w:t>Please describe below the details of all the impacts of the DER as it pertains to this report, such as load loss, loss of life, equipment failure or potential reliability improvement.  A sequence of events showing the impact is helpful.  Attach supporting information to this form if necessary.</w:t>
            </w:r>
          </w:p>
        </w:tc>
      </w:tr>
      <w:tr w:rsidR="00D92C95" w:rsidRPr="00D92C95" w14:paraId="7B48ECD8"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76F11F36" w14:textId="77777777" w:rsidR="00D92C95" w:rsidRPr="00D92C95" w:rsidRDefault="00D92C95" w:rsidP="00714830"/>
          <w:p w14:paraId="1B4757AD" w14:textId="77777777" w:rsidR="00D92C95" w:rsidRPr="00D92C95" w:rsidRDefault="00D92C95" w:rsidP="00714830"/>
          <w:p w14:paraId="1AFB4178" w14:textId="77777777" w:rsidR="00D92C95" w:rsidRPr="00D92C95" w:rsidRDefault="00D92C95" w:rsidP="00714830"/>
          <w:p w14:paraId="340B6638" w14:textId="77777777" w:rsidR="00D92C95" w:rsidRPr="00D92C95" w:rsidRDefault="00D92C95" w:rsidP="00714830"/>
          <w:p w14:paraId="345D5314" w14:textId="77777777" w:rsidR="00D92C95" w:rsidRPr="00D92C95" w:rsidRDefault="00D92C95" w:rsidP="00714830"/>
        </w:tc>
      </w:tr>
    </w:tbl>
    <w:p w14:paraId="37B31EB8" w14:textId="77777777" w:rsidR="00D92C95" w:rsidRPr="00D92C95" w:rsidRDefault="00D92C95" w:rsidP="00714830">
      <w:pPr>
        <w:rPr>
          <w:color w:val="000000"/>
          <w:sz w:val="24"/>
          <w:lang w:eastAsia="ja-JP"/>
        </w:rPr>
      </w:pPr>
      <w:r w:rsidRPr="00D92C95">
        <w:rPr>
          <w:color w:val="000000"/>
          <w:sz w:val="24"/>
          <w:lang w:eastAsia="ja-JP"/>
        </w:rPr>
        <w:t xml:space="preserve">Root Cause or additional Analysis </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5156AFE3"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single" w:sz="18" w:space="0" w:color="FFFFFF"/>
            </w:tcBorders>
            <w:shd w:val="clear" w:color="auto" w:fill="0070C0"/>
          </w:tcPr>
          <w:p w14:paraId="6DAE433F" w14:textId="77777777" w:rsidR="00D92C95" w:rsidRPr="00D92C95" w:rsidRDefault="00D92C95" w:rsidP="00714830">
            <w:pPr>
              <w:rPr>
                <w:color w:val="FFFFFF"/>
                <w:szCs w:val="36"/>
              </w:rPr>
            </w:pPr>
            <w:r w:rsidRPr="00D92C95">
              <w:rPr>
                <w:color w:val="FFFFFF"/>
                <w:szCs w:val="36"/>
              </w:rPr>
              <w:t>Please describe below the details of any investigation your company may have already done to identify causes or contributing factors to the incident.  This will help NPCC route the issue properly to address it.</w:t>
            </w:r>
          </w:p>
        </w:tc>
      </w:tr>
      <w:tr w:rsidR="00D92C95" w:rsidRPr="00D92C95" w14:paraId="1CA3D09B" w14:textId="77777777" w:rsidTr="00D92C95">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474" w:type="dxa"/>
          </w:tcPr>
          <w:p w14:paraId="05A675CE" w14:textId="77777777" w:rsidR="00D92C95" w:rsidRPr="00D92C95" w:rsidRDefault="00D92C95" w:rsidP="00714830"/>
          <w:p w14:paraId="5E02073F" w14:textId="77777777" w:rsidR="00D92C95" w:rsidRPr="00D92C95" w:rsidRDefault="00D92C95" w:rsidP="00714830"/>
          <w:p w14:paraId="0EDCEA8F" w14:textId="77777777" w:rsidR="00D92C95" w:rsidRPr="00D92C95" w:rsidRDefault="00D92C95" w:rsidP="00714830"/>
          <w:p w14:paraId="4C1F2E4A" w14:textId="77777777" w:rsidR="00D92C95" w:rsidRPr="00D92C95" w:rsidRDefault="00D92C95" w:rsidP="00714830"/>
          <w:p w14:paraId="633FAB84" w14:textId="77777777" w:rsidR="00D92C95" w:rsidRPr="00D92C95" w:rsidRDefault="00D92C95" w:rsidP="00714830"/>
        </w:tc>
      </w:tr>
    </w:tbl>
    <w:p w14:paraId="53868221" w14:textId="77777777" w:rsidR="00D92C95" w:rsidRPr="00D92C95" w:rsidRDefault="00D92C95" w:rsidP="00714830">
      <w:pPr>
        <w:rPr>
          <w:color w:val="000000"/>
          <w:sz w:val="24"/>
          <w:lang w:eastAsia="ja-JP"/>
        </w:rPr>
      </w:pPr>
      <w:r w:rsidRPr="00D92C95">
        <w:rPr>
          <w:color w:val="000000"/>
          <w:sz w:val="24"/>
          <w:lang w:eastAsia="ja-JP"/>
        </w:rPr>
        <w:t>NPCC Review of Issue and Reco</w:t>
      </w:r>
      <w:r w:rsidR="0064206C">
        <w:rPr>
          <w:color w:val="000000"/>
          <w:sz w:val="24"/>
          <w:lang w:eastAsia="ja-JP"/>
        </w:rPr>
        <w:t>m</w:t>
      </w:r>
      <w:r w:rsidRPr="00D92C95">
        <w:rPr>
          <w:color w:val="000000"/>
          <w:sz w:val="24"/>
          <w:lang w:eastAsia="ja-JP"/>
        </w:rPr>
        <w:t>mendations (i.e. Refer to NERC, develop a Criteria</w:t>
      </w:r>
      <w:r w:rsidR="0064206C">
        <w:rPr>
          <w:color w:val="000000"/>
          <w:sz w:val="24"/>
          <w:lang w:eastAsia="ja-JP"/>
        </w:rPr>
        <w:t>,</w:t>
      </w:r>
      <w:r w:rsidRPr="00D92C95">
        <w:rPr>
          <w:color w:val="000000"/>
          <w:sz w:val="24"/>
          <w:lang w:eastAsia="ja-JP"/>
        </w:rPr>
        <w:t xml:space="preserve"> Guideline, Already Addressed or Identifie</w:t>
      </w:r>
      <w:r w:rsidR="0064206C">
        <w:rPr>
          <w:color w:val="000000"/>
          <w:sz w:val="24"/>
          <w:lang w:eastAsia="ja-JP"/>
        </w:rPr>
        <w:t>d</w:t>
      </w:r>
      <w:r w:rsidRPr="00D92C95">
        <w:rPr>
          <w:color w:val="000000"/>
          <w:sz w:val="24"/>
          <w:lang w:eastAsia="ja-JP"/>
        </w:rPr>
        <w:t>, etc.)</w:t>
      </w:r>
    </w:p>
    <w:tbl>
      <w:tblPr>
        <w:tblStyle w:val="PlainTable31"/>
        <w:tblW w:w="5000" w:type="pct"/>
        <w:tblLayout w:type="fixed"/>
        <w:tblLook w:val="0420" w:firstRow="1" w:lastRow="0" w:firstColumn="0" w:lastColumn="0" w:noHBand="0" w:noVBand="1"/>
        <w:tblDescription w:val="Expenses table"/>
      </w:tblPr>
      <w:tblGrid>
        <w:gridCol w:w="9314"/>
      </w:tblGrid>
      <w:tr w:rsidR="00D92C95" w:rsidRPr="00D92C95" w14:paraId="6207E449" w14:textId="77777777" w:rsidTr="00D92C95">
        <w:trPr>
          <w:cnfStyle w:val="100000000000" w:firstRow="1" w:lastRow="0" w:firstColumn="0" w:lastColumn="0" w:oddVBand="0" w:evenVBand="0" w:oddHBand="0" w:evenHBand="0" w:firstRowFirstColumn="0" w:firstRowLastColumn="0" w:lastRowFirstColumn="0" w:lastRowLastColumn="0"/>
          <w:trHeight w:val="27"/>
        </w:trPr>
        <w:tc>
          <w:tcPr>
            <w:tcW w:w="11474" w:type="dxa"/>
            <w:tcBorders>
              <w:bottom w:val="none" w:sz="0" w:space="0" w:color="auto"/>
            </w:tcBorders>
          </w:tcPr>
          <w:p w14:paraId="6A3B1230" w14:textId="77777777" w:rsidR="00D92C95" w:rsidRPr="00D92C95" w:rsidRDefault="00D92C95" w:rsidP="00714830"/>
          <w:p w14:paraId="7735B258" w14:textId="77777777" w:rsidR="00D92C95" w:rsidRPr="00D92C95" w:rsidRDefault="00D92C95" w:rsidP="00714830">
            <w:pPr>
              <w:rPr>
                <w:color w:val="FFFFFF"/>
                <w:szCs w:val="36"/>
              </w:rPr>
            </w:pPr>
          </w:p>
        </w:tc>
      </w:tr>
    </w:tbl>
    <w:p w14:paraId="63CDAA58" w14:textId="77777777" w:rsidR="00D92C95" w:rsidRPr="00D92C95" w:rsidRDefault="00D92C95" w:rsidP="00714830">
      <w:pPr>
        <w:rPr>
          <w:color w:val="355D7E"/>
          <w:sz w:val="21"/>
          <w:szCs w:val="21"/>
          <w:lang w:eastAsia="ja-JP"/>
        </w:rPr>
      </w:pPr>
      <w:r w:rsidRPr="00D92C95">
        <w:rPr>
          <w:color w:val="000000"/>
          <w:sz w:val="21"/>
          <w:szCs w:val="21"/>
          <w:lang w:eastAsia="ja-JP"/>
        </w:rPr>
        <w:t xml:space="preserve">NPCC Date of Resolution of Issue </w:t>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r>
      <w:r w:rsidRPr="00D92C95">
        <w:rPr>
          <w:color w:val="000000"/>
          <w:sz w:val="21"/>
          <w:szCs w:val="21"/>
          <w:lang w:eastAsia="ja-JP"/>
        </w:rPr>
        <w:softHyphen/>
        <w:t>______________</w:t>
      </w:r>
    </w:p>
    <w:tbl>
      <w:tblPr>
        <w:tblW w:w="11150" w:type="dxa"/>
        <w:tblLook w:val="04A0" w:firstRow="1" w:lastRow="0" w:firstColumn="1" w:lastColumn="0" w:noHBand="0" w:noVBand="1"/>
      </w:tblPr>
      <w:tblGrid>
        <w:gridCol w:w="360"/>
        <w:gridCol w:w="3460"/>
        <w:gridCol w:w="2030"/>
        <w:gridCol w:w="270"/>
        <w:gridCol w:w="1040"/>
        <w:gridCol w:w="90"/>
        <w:gridCol w:w="1040"/>
        <w:gridCol w:w="770"/>
        <w:gridCol w:w="960"/>
        <w:gridCol w:w="170"/>
        <w:gridCol w:w="960"/>
      </w:tblGrid>
      <w:tr w:rsidR="000863B7" w:rsidRPr="000863B7" w14:paraId="5DA4A30A" w14:textId="77777777" w:rsidTr="000B0600">
        <w:trPr>
          <w:trHeight w:val="90"/>
        </w:trPr>
        <w:tc>
          <w:tcPr>
            <w:tcW w:w="360" w:type="dxa"/>
            <w:tcBorders>
              <w:top w:val="nil"/>
              <w:left w:val="nil"/>
              <w:bottom w:val="nil"/>
              <w:right w:val="nil"/>
            </w:tcBorders>
            <w:shd w:val="clear" w:color="auto" w:fill="auto"/>
            <w:noWrap/>
            <w:vAlign w:val="bottom"/>
          </w:tcPr>
          <w:p w14:paraId="640CEC66" w14:textId="77777777" w:rsidR="000863B7" w:rsidRDefault="000863B7" w:rsidP="000863B7">
            <w:pPr>
              <w:spacing w:after="0" w:line="240" w:lineRule="auto"/>
              <w:rPr>
                <w:rFonts w:ascii="Times New Roman" w:eastAsia="Times New Roman" w:hAnsi="Times New Roman" w:cs="Times New Roman"/>
                <w:sz w:val="24"/>
                <w:szCs w:val="24"/>
              </w:rPr>
            </w:pPr>
          </w:p>
          <w:p w14:paraId="5ED5FD9D" w14:textId="77777777" w:rsidR="000B0600" w:rsidRDefault="000B0600" w:rsidP="000863B7">
            <w:pPr>
              <w:spacing w:after="0" w:line="240" w:lineRule="auto"/>
              <w:rPr>
                <w:rFonts w:ascii="Times New Roman" w:eastAsia="Times New Roman" w:hAnsi="Times New Roman" w:cs="Times New Roman"/>
                <w:sz w:val="24"/>
                <w:szCs w:val="24"/>
              </w:rPr>
            </w:pPr>
          </w:p>
          <w:p w14:paraId="526F53D7" w14:textId="77777777" w:rsidR="000B0600" w:rsidRDefault="000B0600" w:rsidP="000863B7">
            <w:pPr>
              <w:spacing w:after="0" w:line="240" w:lineRule="auto"/>
              <w:rPr>
                <w:rFonts w:ascii="Times New Roman" w:eastAsia="Times New Roman" w:hAnsi="Times New Roman" w:cs="Times New Roman"/>
                <w:sz w:val="24"/>
                <w:szCs w:val="24"/>
              </w:rPr>
            </w:pPr>
          </w:p>
          <w:p w14:paraId="13F036D9" w14:textId="77777777" w:rsidR="000B0600" w:rsidRDefault="000B0600" w:rsidP="000863B7">
            <w:pPr>
              <w:spacing w:after="0" w:line="240" w:lineRule="auto"/>
              <w:rPr>
                <w:rFonts w:ascii="Times New Roman" w:eastAsia="Times New Roman" w:hAnsi="Times New Roman" w:cs="Times New Roman"/>
                <w:sz w:val="24"/>
                <w:szCs w:val="24"/>
              </w:rPr>
            </w:pPr>
          </w:p>
          <w:p w14:paraId="0174F136" w14:textId="77777777" w:rsidR="000B0600" w:rsidRDefault="000B0600" w:rsidP="000863B7">
            <w:pPr>
              <w:spacing w:after="0" w:line="240" w:lineRule="auto"/>
              <w:rPr>
                <w:rFonts w:ascii="Times New Roman" w:eastAsia="Times New Roman" w:hAnsi="Times New Roman" w:cs="Times New Roman"/>
                <w:sz w:val="24"/>
                <w:szCs w:val="24"/>
              </w:rPr>
            </w:pPr>
          </w:p>
          <w:p w14:paraId="7E5657F1" w14:textId="77777777" w:rsidR="000B0600" w:rsidRDefault="000B0600" w:rsidP="000863B7">
            <w:pPr>
              <w:spacing w:after="0" w:line="240" w:lineRule="auto"/>
              <w:rPr>
                <w:rFonts w:ascii="Times New Roman" w:eastAsia="Times New Roman" w:hAnsi="Times New Roman" w:cs="Times New Roman"/>
                <w:sz w:val="24"/>
                <w:szCs w:val="24"/>
              </w:rPr>
            </w:pPr>
          </w:p>
          <w:p w14:paraId="5178A2A6" w14:textId="77777777" w:rsidR="000B0600" w:rsidRDefault="000B0600" w:rsidP="000863B7">
            <w:pPr>
              <w:spacing w:after="0" w:line="240" w:lineRule="auto"/>
              <w:rPr>
                <w:rFonts w:ascii="Times New Roman" w:eastAsia="Times New Roman" w:hAnsi="Times New Roman" w:cs="Times New Roman"/>
                <w:sz w:val="24"/>
                <w:szCs w:val="24"/>
              </w:rPr>
            </w:pPr>
          </w:p>
          <w:p w14:paraId="1C04A77A" w14:textId="77777777" w:rsidR="000B0600" w:rsidRDefault="000B0600" w:rsidP="000863B7">
            <w:pPr>
              <w:spacing w:after="0" w:line="240" w:lineRule="auto"/>
              <w:rPr>
                <w:rFonts w:ascii="Times New Roman" w:eastAsia="Times New Roman" w:hAnsi="Times New Roman" w:cs="Times New Roman"/>
                <w:sz w:val="24"/>
                <w:szCs w:val="24"/>
              </w:rPr>
            </w:pPr>
          </w:p>
          <w:p w14:paraId="7999BFBE" w14:textId="77777777" w:rsidR="000B0600" w:rsidRDefault="000B0600" w:rsidP="000863B7">
            <w:pPr>
              <w:spacing w:after="0" w:line="240" w:lineRule="auto"/>
              <w:rPr>
                <w:rFonts w:ascii="Times New Roman" w:eastAsia="Times New Roman" w:hAnsi="Times New Roman" w:cs="Times New Roman"/>
                <w:sz w:val="24"/>
                <w:szCs w:val="24"/>
              </w:rPr>
            </w:pPr>
          </w:p>
          <w:p w14:paraId="1A5DE6B8" w14:textId="77777777" w:rsidR="000B0600" w:rsidRDefault="000B0600" w:rsidP="000863B7">
            <w:pPr>
              <w:spacing w:after="0" w:line="240" w:lineRule="auto"/>
              <w:rPr>
                <w:rFonts w:ascii="Times New Roman" w:eastAsia="Times New Roman" w:hAnsi="Times New Roman" w:cs="Times New Roman"/>
                <w:sz w:val="24"/>
                <w:szCs w:val="24"/>
              </w:rPr>
            </w:pPr>
          </w:p>
          <w:p w14:paraId="1F68DCB7" w14:textId="77777777" w:rsidR="000B0600" w:rsidRDefault="000B0600" w:rsidP="000863B7">
            <w:pPr>
              <w:spacing w:after="0" w:line="240" w:lineRule="auto"/>
              <w:rPr>
                <w:rFonts w:ascii="Times New Roman" w:eastAsia="Times New Roman" w:hAnsi="Times New Roman" w:cs="Times New Roman"/>
                <w:sz w:val="24"/>
                <w:szCs w:val="24"/>
              </w:rPr>
            </w:pPr>
          </w:p>
          <w:p w14:paraId="14E810FB" w14:textId="77777777" w:rsidR="000B0600" w:rsidRDefault="000B0600" w:rsidP="000863B7">
            <w:pPr>
              <w:spacing w:after="0" w:line="240" w:lineRule="auto"/>
              <w:rPr>
                <w:rFonts w:ascii="Times New Roman" w:eastAsia="Times New Roman" w:hAnsi="Times New Roman" w:cs="Times New Roman"/>
                <w:sz w:val="24"/>
                <w:szCs w:val="24"/>
              </w:rPr>
            </w:pPr>
          </w:p>
          <w:p w14:paraId="25E01F03" w14:textId="77777777" w:rsidR="000B0600" w:rsidRDefault="000B0600" w:rsidP="000863B7">
            <w:pPr>
              <w:spacing w:after="0" w:line="240" w:lineRule="auto"/>
              <w:rPr>
                <w:rFonts w:ascii="Times New Roman" w:eastAsia="Times New Roman" w:hAnsi="Times New Roman" w:cs="Times New Roman"/>
                <w:sz w:val="24"/>
                <w:szCs w:val="24"/>
              </w:rPr>
            </w:pPr>
          </w:p>
          <w:p w14:paraId="221287EA" w14:textId="77777777" w:rsidR="000B0600" w:rsidRDefault="000B0600" w:rsidP="000863B7">
            <w:pPr>
              <w:spacing w:after="0" w:line="240" w:lineRule="auto"/>
              <w:rPr>
                <w:rFonts w:ascii="Times New Roman" w:eastAsia="Times New Roman" w:hAnsi="Times New Roman" w:cs="Times New Roman"/>
                <w:sz w:val="24"/>
                <w:szCs w:val="24"/>
              </w:rPr>
            </w:pPr>
          </w:p>
          <w:p w14:paraId="3BF4DCF9" w14:textId="77777777" w:rsidR="000B0600" w:rsidRDefault="000B0600" w:rsidP="000863B7">
            <w:pPr>
              <w:spacing w:after="0" w:line="240" w:lineRule="auto"/>
              <w:rPr>
                <w:rFonts w:ascii="Times New Roman" w:eastAsia="Times New Roman" w:hAnsi="Times New Roman" w:cs="Times New Roman"/>
                <w:sz w:val="24"/>
                <w:szCs w:val="24"/>
              </w:rPr>
            </w:pPr>
          </w:p>
          <w:p w14:paraId="3BCE0271" w14:textId="77777777" w:rsidR="000B0600" w:rsidRDefault="000B0600" w:rsidP="000863B7">
            <w:pPr>
              <w:spacing w:after="0" w:line="240" w:lineRule="auto"/>
              <w:rPr>
                <w:rFonts w:ascii="Times New Roman" w:eastAsia="Times New Roman" w:hAnsi="Times New Roman" w:cs="Times New Roman"/>
                <w:sz w:val="24"/>
                <w:szCs w:val="24"/>
              </w:rPr>
            </w:pPr>
          </w:p>
          <w:p w14:paraId="6940758D" w14:textId="77777777" w:rsidR="000B0600" w:rsidRDefault="000B0600" w:rsidP="000863B7">
            <w:pPr>
              <w:spacing w:after="0" w:line="240" w:lineRule="auto"/>
              <w:rPr>
                <w:rFonts w:ascii="Times New Roman" w:eastAsia="Times New Roman" w:hAnsi="Times New Roman" w:cs="Times New Roman"/>
                <w:sz w:val="24"/>
                <w:szCs w:val="24"/>
              </w:rPr>
            </w:pPr>
          </w:p>
          <w:p w14:paraId="68EA8D85" w14:textId="77777777" w:rsidR="000B0600" w:rsidRDefault="000B0600" w:rsidP="000863B7">
            <w:pPr>
              <w:spacing w:after="0" w:line="240" w:lineRule="auto"/>
              <w:rPr>
                <w:rFonts w:ascii="Times New Roman" w:eastAsia="Times New Roman" w:hAnsi="Times New Roman" w:cs="Times New Roman"/>
                <w:sz w:val="24"/>
                <w:szCs w:val="24"/>
              </w:rPr>
            </w:pPr>
          </w:p>
          <w:p w14:paraId="0944055B" w14:textId="77777777" w:rsidR="000B0600" w:rsidRDefault="000B0600" w:rsidP="000863B7">
            <w:pPr>
              <w:spacing w:after="0" w:line="240" w:lineRule="auto"/>
              <w:rPr>
                <w:rFonts w:ascii="Times New Roman" w:eastAsia="Times New Roman" w:hAnsi="Times New Roman" w:cs="Times New Roman"/>
                <w:sz w:val="24"/>
                <w:szCs w:val="24"/>
              </w:rPr>
            </w:pPr>
          </w:p>
          <w:p w14:paraId="118E25F7" w14:textId="77777777" w:rsidR="000B0600" w:rsidRDefault="000B0600" w:rsidP="000863B7">
            <w:pPr>
              <w:spacing w:after="0" w:line="240" w:lineRule="auto"/>
              <w:rPr>
                <w:rFonts w:ascii="Times New Roman" w:eastAsia="Times New Roman" w:hAnsi="Times New Roman" w:cs="Times New Roman"/>
                <w:sz w:val="24"/>
                <w:szCs w:val="24"/>
              </w:rPr>
            </w:pPr>
          </w:p>
          <w:p w14:paraId="15532729" w14:textId="77777777" w:rsidR="000B0600" w:rsidRDefault="000B0600" w:rsidP="000863B7">
            <w:pPr>
              <w:spacing w:after="0" w:line="240" w:lineRule="auto"/>
              <w:rPr>
                <w:rFonts w:ascii="Times New Roman" w:eastAsia="Times New Roman" w:hAnsi="Times New Roman" w:cs="Times New Roman"/>
                <w:sz w:val="24"/>
                <w:szCs w:val="24"/>
              </w:rPr>
            </w:pPr>
          </w:p>
          <w:p w14:paraId="32120CBD" w14:textId="77777777" w:rsidR="000B0600" w:rsidRDefault="000B0600" w:rsidP="000863B7">
            <w:pPr>
              <w:spacing w:after="0" w:line="240" w:lineRule="auto"/>
              <w:rPr>
                <w:rFonts w:ascii="Times New Roman" w:eastAsia="Times New Roman" w:hAnsi="Times New Roman" w:cs="Times New Roman"/>
                <w:sz w:val="24"/>
                <w:szCs w:val="24"/>
              </w:rPr>
            </w:pPr>
          </w:p>
          <w:p w14:paraId="797F7504" w14:textId="77777777" w:rsidR="000B0600" w:rsidRDefault="000B0600" w:rsidP="000863B7">
            <w:pPr>
              <w:spacing w:after="0" w:line="240" w:lineRule="auto"/>
              <w:rPr>
                <w:rFonts w:ascii="Times New Roman" w:eastAsia="Times New Roman" w:hAnsi="Times New Roman" w:cs="Times New Roman"/>
                <w:sz w:val="24"/>
                <w:szCs w:val="24"/>
              </w:rPr>
            </w:pPr>
          </w:p>
          <w:p w14:paraId="29B909CC" w14:textId="77777777" w:rsidR="000B0600" w:rsidRDefault="000B0600" w:rsidP="000863B7">
            <w:pPr>
              <w:spacing w:after="0" w:line="240" w:lineRule="auto"/>
              <w:rPr>
                <w:rFonts w:ascii="Times New Roman" w:eastAsia="Times New Roman" w:hAnsi="Times New Roman" w:cs="Times New Roman"/>
                <w:sz w:val="24"/>
                <w:szCs w:val="24"/>
              </w:rPr>
            </w:pPr>
          </w:p>
          <w:p w14:paraId="3AB9ADF4" w14:textId="77777777" w:rsidR="000B0600" w:rsidRDefault="000B0600" w:rsidP="000863B7">
            <w:pPr>
              <w:spacing w:after="0" w:line="240" w:lineRule="auto"/>
              <w:rPr>
                <w:rFonts w:ascii="Times New Roman" w:eastAsia="Times New Roman" w:hAnsi="Times New Roman" w:cs="Times New Roman"/>
                <w:sz w:val="24"/>
                <w:szCs w:val="24"/>
              </w:rPr>
            </w:pPr>
          </w:p>
          <w:p w14:paraId="00533120" w14:textId="77777777" w:rsidR="000B0600" w:rsidRDefault="000B0600" w:rsidP="000863B7">
            <w:pPr>
              <w:spacing w:after="0" w:line="240" w:lineRule="auto"/>
              <w:rPr>
                <w:rFonts w:ascii="Times New Roman" w:eastAsia="Times New Roman" w:hAnsi="Times New Roman" w:cs="Times New Roman"/>
                <w:sz w:val="24"/>
                <w:szCs w:val="24"/>
              </w:rPr>
            </w:pPr>
          </w:p>
          <w:p w14:paraId="1290570B" w14:textId="77777777" w:rsidR="000B0600" w:rsidRDefault="000B0600" w:rsidP="000863B7">
            <w:pPr>
              <w:spacing w:after="0" w:line="240" w:lineRule="auto"/>
              <w:rPr>
                <w:rFonts w:ascii="Times New Roman" w:eastAsia="Times New Roman" w:hAnsi="Times New Roman" w:cs="Times New Roman"/>
                <w:sz w:val="24"/>
                <w:szCs w:val="24"/>
              </w:rPr>
            </w:pPr>
          </w:p>
          <w:p w14:paraId="4668003D" w14:textId="77777777" w:rsidR="000B0600" w:rsidRDefault="000B0600" w:rsidP="000863B7">
            <w:pPr>
              <w:spacing w:after="0" w:line="240" w:lineRule="auto"/>
              <w:rPr>
                <w:rFonts w:ascii="Times New Roman" w:eastAsia="Times New Roman" w:hAnsi="Times New Roman" w:cs="Times New Roman"/>
                <w:sz w:val="24"/>
                <w:szCs w:val="24"/>
              </w:rPr>
            </w:pPr>
          </w:p>
          <w:p w14:paraId="1EDDF1B2" w14:textId="77777777" w:rsidR="000B0600" w:rsidRDefault="000B0600" w:rsidP="000863B7">
            <w:pPr>
              <w:spacing w:after="0" w:line="240" w:lineRule="auto"/>
              <w:rPr>
                <w:rFonts w:ascii="Times New Roman" w:eastAsia="Times New Roman" w:hAnsi="Times New Roman" w:cs="Times New Roman"/>
                <w:sz w:val="24"/>
                <w:szCs w:val="24"/>
              </w:rPr>
            </w:pPr>
          </w:p>
          <w:p w14:paraId="438DF4EF" w14:textId="77777777" w:rsidR="000B0600" w:rsidRDefault="000B0600" w:rsidP="000863B7">
            <w:pPr>
              <w:spacing w:after="0" w:line="240" w:lineRule="auto"/>
              <w:rPr>
                <w:rFonts w:ascii="Times New Roman" w:eastAsia="Times New Roman" w:hAnsi="Times New Roman" w:cs="Times New Roman"/>
                <w:sz w:val="24"/>
                <w:szCs w:val="24"/>
              </w:rPr>
            </w:pPr>
          </w:p>
          <w:p w14:paraId="37FA424D" w14:textId="77777777" w:rsidR="000B0600" w:rsidRPr="000863B7" w:rsidRDefault="000B0600" w:rsidP="000863B7">
            <w:pPr>
              <w:spacing w:after="0" w:line="240" w:lineRule="auto"/>
              <w:rPr>
                <w:rFonts w:ascii="Times New Roman" w:eastAsia="Times New Roman" w:hAnsi="Times New Roman" w:cs="Times New Roman"/>
                <w:sz w:val="24"/>
                <w:szCs w:val="24"/>
              </w:rPr>
            </w:pPr>
          </w:p>
        </w:tc>
        <w:tc>
          <w:tcPr>
            <w:tcW w:w="3460" w:type="dxa"/>
            <w:tcBorders>
              <w:top w:val="nil"/>
              <w:left w:val="nil"/>
              <w:bottom w:val="nil"/>
              <w:right w:val="nil"/>
            </w:tcBorders>
            <w:shd w:val="clear" w:color="auto" w:fill="auto"/>
            <w:noWrap/>
            <w:vAlign w:val="bottom"/>
            <w:hideMark/>
          </w:tcPr>
          <w:p w14:paraId="16CE56C5"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04E39265"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2973E377"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5DEA1D9A"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797E80D2"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0520FD5E"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r w:rsidR="000863B7" w:rsidRPr="000863B7" w14:paraId="30061D56" w14:textId="77777777" w:rsidTr="000B0600">
        <w:trPr>
          <w:gridAfter w:val="2"/>
          <w:wAfter w:w="1130" w:type="dxa"/>
          <w:trHeight w:val="300"/>
        </w:trPr>
        <w:tc>
          <w:tcPr>
            <w:tcW w:w="360" w:type="dxa"/>
            <w:tcBorders>
              <w:top w:val="nil"/>
              <w:left w:val="nil"/>
              <w:bottom w:val="nil"/>
              <w:right w:val="nil"/>
            </w:tcBorders>
            <w:shd w:val="clear" w:color="auto" w:fill="auto"/>
            <w:noWrap/>
            <w:vAlign w:val="bottom"/>
          </w:tcPr>
          <w:p w14:paraId="100F90B3"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5490" w:type="dxa"/>
            <w:gridSpan w:val="2"/>
            <w:tcBorders>
              <w:top w:val="nil"/>
              <w:left w:val="nil"/>
              <w:bottom w:val="nil"/>
              <w:right w:val="nil"/>
            </w:tcBorders>
            <w:shd w:val="clear" w:color="auto" w:fill="auto"/>
            <w:noWrap/>
            <w:vAlign w:val="bottom"/>
            <w:hideMark/>
          </w:tcPr>
          <w:p w14:paraId="402EE33E" w14:textId="77777777" w:rsidR="000863B7" w:rsidRDefault="000863B7" w:rsidP="000863B7">
            <w:pPr>
              <w:pStyle w:val="Heading1"/>
              <w:ind w:right="75"/>
              <w:rPr>
                <w:rFonts w:eastAsia="Times New Roman"/>
              </w:rPr>
            </w:pPr>
            <w:bookmarkStart w:id="27" w:name="_Toc10106991"/>
            <w:r>
              <w:rPr>
                <w:rFonts w:eastAsia="Times New Roman"/>
              </w:rPr>
              <w:t>Appendix B</w:t>
            </w:r>
            <w:r w:rsidR="000B0600">
              <w:rPr>
                <w:rFonts w:eastAsia="Times New Roman"/>
              </w:rPr>
              <w:t>,</w:t>
            </w:r>
            <w:r>
              <w:rPr>
                <w:rFonts w:eastAsia="Times New Roman"/>
              </w:rPr>
              <w:t xml:space="preserve"> NPCC Area</w:t>
            </w:r>
            <w:r w:rsidR="000B0600">
              <w:rPr>
                <w:rFonts w:eastAsia="Times New Roman"/>
              </w:rPr>
              <w:t>s-</w:t>
            </w:r>
            <w:r>
              <w:rPr>
                <w:rFonts w:eastAsia="Times New Roman"/>
              </w:rPr>
              <w:t xml:space="preserve"> Comparison</w:t>
            </w:r>
            <w:bookmarkEnd w:id="27"/>
            <w:r w:rsidR="000B0600">
              <w:rPr>
                <w:rFonts w:eastAsia="Times New Roman"/>
              </w:rPr>
              <w:t>s</w:t>
            </w:r>
          </w:p>
          <w:p w14:paraId="61D08E8C" w14:textId="77777777" w:rsidR="000863B7" w:rsidRDefault="000863B7" w:rsidP="000863B7">
            <w:pPr>
              <w:spacing w:after="0" w:line="240" w:lineRule="auto"/>
              <w:rPr>
                <w:rFonts w:ascii="Calibri" w:eastAsia="Times New Roman" w:hAnsi="Calibri" w:cs="Calibri"/>
                <w:b/>
                <w:bCs/>
                <w:color w:val="000000"/>
              </w:rPr>
            </w:pPr>
          </w:p>
          <w:p w14:paraId="18F98693" w14:textId="77777777" w:rsidR="000863B7" w:rsidRDefault="000863B7" w:rsidP="000863B7">
            <w:pPr>
              <w:spacing w:after="0" w:line="240" w:lineRule="auto"/>
              <w:rPr>
                <w:rFonts w:ascii="Calibri" w:eastAsia="Times New Roman" w:hAnsi="Calibri" w:cs="Calibri"/>
                <w:b/>
                <w:bCs/>
                <w:color w:val="000000"/>
              </w:rPr>
            </w:pPr>
          </w:p>
          <w:p w14:paraId="37AC7697"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Key Inverter based specification extracts</w:t>
            </w:r>
          </w:p>
        </w:tc>
        <w:tc>
          <w:tcPr>
            <w:tcW w:w="270" w:type="dxa"/>
            <w:tcBorders>
              <w:top w:val="nil"/>
              <w:left w:val="nil"/>
              <w:bottom w:val="nil"/>
              <w:right w:val="nil"/>
            </w:tcBorders>
            <w:shd w:val="clear" w:color="auto" w:fill="auto"/>
            <w:hideMark/>
          </w:tcPr>
          <w:p w14:paraId="6E4E59BE" w14:textId="77777777" w:rsidR="000863B7" w:rsidRPr="000863B7" w:rsidRDefault="000863B7" w:rsidP="000863B7">
            <w:pPr>
              <w:spacing w:after="0" w:line="240" w:lineRule="auto"/>
              <w:ind w:left="165" w:right="-510"/>
              <w:rPr>
                <w:rFonts w:ascii="Calibri" w:eastAsia="Times New Roman" w:hAnsi="Calibri" w:cs="Calibri"/>
                <w:b/>
                <w:bCs/>
                <w:color w:val="000000"/>
              </w:rPr>
            </w:pPr>
          </w:p>
        </w:tc>
        <w:tc>
          <w:tcPr>
            <w:tcW w:w="1040" w:type="dxa"/>
            <w:tcBorders>
              <w:top w:val="nil"/>
              <w:left w:val="nil"/>
              <w:bottom w:val="nil"/>
              <w:right w:val="nil"/>
            </w:tcBorders>
            <w:shd w:val="clear" w:color="auto" w:fill="auto"/>
            <w:hideMark/>
          </w:tcPr>
          <w:p w14:paraId="4ED5B486"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777B6519"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53E269EA"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r w:rsidR="000863B7" w:rsidRPr="000863B7" w14:paraId="72686A3A" w14:textId="77777777" w:rsidTr="000B0600">
        <w:trPr>
          <w:trHeight w:val="300"/>
        </w:trPr>
        <w:tc>
          <w:tcPr>
            <w:tcW w:w="360" w:type="dxa"/>
            <w:tcBorders>
              <w:top w:val="nil"/>
              <w:left w:val="nil"/>
              <w:bottom w:val="nil"/>
              <w:right w:val="nil"/>
            </w:tcBorders>
            <w:shd w:val="clear" w:color="auto" w:fill="auto"/>
            <w:noWrap/>
            <w:vAlign w:val="bottom"/>
          </w:tcPr>
          <w:p w14:paraId="75A03239"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1DB3A793"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1030776A"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2E61DC26"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7B4771F2"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7EEB5070"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2479DEE3" w14:textId="77777777" w:rsidR="000863B7" w:rsidRPr="000863B7" w:rsidRDefault="000863B7" w:rsidP="000863B7">
            <w:pPr>
              <w:spacing w:after="0" w:line="240" w:lineRule="auto"/>
              <w:rPr>
                <w:rFonts w:ascii="Times New Roman" w:eastAsia="Times New Roman" w:hAnsi="Times New Roman" w:cs="Times New Roman"/>
                <w:sz w:val="20"/>
                <w:szCs w:val="20"/>
              </w:rPr>
            </w:pPr>
          </w:p>
        </w:tc>
      </w:tr>
      <w:tr w:rsidR="000863B7" w:rsidRPr="000863B7" w14:paraId="4BF9A23D" w14:textId="77777777" w:rsidTr="000B0600">
        <w:trPr>
          <w:trHeight w:val="600"/>
        </w:trPr>
        <w:tc>
          <w:tcPr>
            <w:tcW w:w="360" w:type="dxa"/>
            <w:tcBorders>
              <w:top w:val="nil"/>
              <w:left w:val="nil"/>
              <w:bottom w:val="nil"/>
              <w:right w:val="nil"/>
            </w:tcBorders>
            <w:shd w:val="clear" w:color="auto" w:fill="auto"/>
            <w:noWrap/>
            <w:vAlign w:val="bottom"/>
          </w:tcPr>
          <w:p w14:paraId="2AC02304"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280C1251"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72277A4D"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ISO-NE Inverter Requirements</w:t>
            </w:r>
          </w:p>
        </w:tc>
        <w:tc>
          <w:tcPr>
            <w:tcW w:w="1400" w:type="dxa"/>
            <w:gridSpan w:val="3"/>
            <w:tcBorders>
              <w:top w:val="nil"/>
              <w:left w:val="nil"/>
              <w:bottom w:val="nil"/>
              <w:right w:val="nil"/>
            </w:tcBorders>
            <w:shd w:val="clear" w:color="auto" w:fill="auto"/>
            <w:hideMark/>
          </w:tcPr>
          <w:p w14:paraId="6F8BC3BF"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NG ESB 756 B, C, D</w:t>
            </w:r>
          </w:p>
        </w:tc>
        <w:tc>
          <w:tcPr>
            <w:tcW w:w="1040" w:type="dxa"/>
            <w:tcBorders>
              <w:top w:val="nil"/>
              <w:left w:val="nil"/>
              <w:bottom w:val="nil"/>
              <w:right w:val="nil"/>
            </w:tcBorders>
            <w:shd w:val="clear" w:color="auto" w:fill="auto"/>
            <w:hideMark/>
          </w:tcPr>
          <w:p w14:paraId="5FE16641"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NY SIR</w:t>
            </w:r>
          </w:p>
        </w:tc>
        <w:tc>
          <w:tcPr>
            <w:tcW w:w="1900" w:type="dxa"/>
            <w:gridSpan w:val="3"/>
            <w:tcBorders>
              <w:top w:val="nil"/>
              <w:left w:val="nil"/>
              <w:bottom w:val="nil"/>
              <w:right w:val="nil"/>
            </w:tcBorders>
            <w:shd w:val="clear" w:color="auto" w:fill="auto"/>
            <w:hideMark/>
          </w:tcPr>
          <w:p w14:paraId="651CACCB" w14:textId="77777777" w:rsidR="000863B7" w:rsidRPr="000863B7" w:rsidRDefault="000863B7" w:rsidP="000863B7">
            <w:pPr>
              <w:spacing w:after="0" w:line="240" w:lineRule="auto"/>
              <w:rPr>
                <w:rFonts w:ascii="Calibri" w:eastAsia="Times New Roman" w:hAnsi="Calibri" w:cs="Calibri"/>
                <w:b/>
                <w:bCs/>
                <w:color w:val="000000"/>
              </w:rPr>
            </w:pPr>
            <w:r w:rsidRPr="000863B7">
              <w:rPr>
                <w:rFonts w:ascii="Calibri" w:eastAsia="Times New Roman" w:hAnsi="Calibri" w:cs="Calibri"/>
                <w:b/>
                <w:bCs/>
                <w:color w:val="000000"/>
              </w:rPr>
              <w:t>IESO F2 Technical Requirements</w:t>
            </w:r>
          </w:p>
        </w:tc>
        <w:tc>
          <w:tcPr>
            <w:tcW w:w="960" w:type="dxa"/>
            <w:tcBorders>
              <w:top w:val="nil"/>
              <w:left w:val="nil"/>
              <w:bottom w:val="nil"/>
              <w:right w:val="nil"/>
            </w:tcBorders>
            <w:shd w:val="clear" w:color="auto" w:fill="auto"/>
            <w:hideMark/>
          </w:tcPr>
          <w:p w14:paraId="181DD824" w14:textId="77777777" w:rsidR="000863B7" w:rsidRPr="000863B7" w:rsidRDefault="000863B7" w:rsidP="000863B7">
            <w:pPr>
              <w:spacing w:after="0" w:line="240" w:lineRule="auto"/>
              <w:rPr>
                <w:rFonts w:ascii="Calibri" w:eastAsia="Times New Roman" w:hAnsi="Calibri" w:cs="Calibri"/>
                <w:b/>
                <w:bCs/>
                <w:color w:val="000000"/>
              </w:rPr>
            </w:pPr>
          </w:p>
        </w:tc>
      </w:tr>
      <w:tr w:rsidR="000863B7" w:rsidRPr="000863B7" w14:paraId="30F85605" w14:textId="77777777" w:rsidTr="000B0600">
        <w:trPr>
          <w:trHeight w:val="300"/>
        </w:trPr>
        <w:tc>
          <w:tcPr>
            <w:tcW w:w="360" w:type="dxa"/>
            <w:tcBorders>
              <w:top w:val="nil"/>
              <w:left w:val="nil"/>
              <w:bottom w:val="nil"/>
              <w:right w:val="nil"/>
            </w:tcBorders>
            <w:shd w:val="clear" w:color="auto" w:fill="auto"/>
            <w:noWrap/>
            <w:vAlign w:val="bottom"/>
          </w:tcPr>
          <w:p w14:paraId="42D1CAB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055B8091"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225FEE3B"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5542FFB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0658BE64"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158CAA91"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507844E8"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00291F48" w14:textId="77777777" w:rsidTr="000B0600">
        <w:trPr>
          <w:trHeight w:val="600"/>
        </w:trPr>
        <w:tc>
          <w:tcPr>
            <w:tcW w:w="360" w:type="dxa"/>
            <w:tcBorders>
              <w:top w:val="nil"/>
              <w:left w:val="nil"/>
              <w:bottom w:val="nil"/>
              <w:right w:val="nil"/>
            </w:tcBorders>
            <w:shd w:val="clear" w:color="auto" w:fill="auto"/>
            <w:noWrap/>
            <w:vAlign w:val="bottom"/>
          </w:tcPr>
          <w:p w14:paraId="4208BA35"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63DC6C87"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Voltage and frequency trip settings for inverter based applications</w:t>
            </w:r>
          </w:p>
        </w:tc>
        <w:tc>
          <w:tcPr>
            <w:tcW w:w="2030" w:type="dxa"/>
            <w:tcBorders>
              <w:top w:val="nil"/>
              <w:left w:val="nil"/>
              <w:bottom w:val="nil"/>
              <w:right w:val="nil"/>
            </w:tcBorders>
            <w:shd w:val="clear" w:color="auto" w:fill="auto"/>
            <w:hideMark/>
          </w:tcPr>
          <w:p w14:paraId="1A3C58C1"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18259232"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746656D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151E454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45559B06"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73B766BB" w14:textId="77777777" w:rsidTr="000B0600">
        <w:trPr>
          <w:trHeight w:val="300"/>
        </w:trPr>
        <w:tc>
          <w:tcPr>
            <w:tcW w:w="360" w:type="dxa"/>
            <w:tcBorders>
              <w:top w:val="nil"/>
              <w:left w:val="nil"/>
              <w:bottom w:val="nil"/>
              <w:right w:val="nil"/>
            </w:tcBorders>
            <w:shd w:val="clear" w:color="auto" w:fill="auto"/>
            <w:noWrap/>
            <w:vAlign w:val="bottom"/>
          </w:tcPr>
          <w:p w14:paraId="44A1C86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0D92CB14"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Voltage Response</w:t>
            </w:r>
          </w:p>
        </w:tc>
        <w:tc>
          <w:tcPr>
            <w:tcW w:w="2030" w:type="dxa"/>
            <w:tcBorders>
              <w:top w:val="nil"/>
              <w:left w:val="nil"/>
              <w:bottom w:val="nil"/>
              <w:right w:val="nil"/>
            </w:tcBorders>
            <w:shd w:val="clear" w:color="auto" w:fill="auto"/>
            <w:hideMark/>
          </w:tcPr>
          <w:p w14:paraId="53857915"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42830B06"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384AAA57"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2375982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715C0EF9"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3EC1919A" w14:textId="77777777" w:rsidTr="000B0600">
        <w:trPr>
          <w:trHeight w:val="300"/>
        </w:trPr>
        <w:tc>
          <w:tcPr>
            <w:tcW w:w="360" w:type="dxa"/>
            <w:tcBorders>
              <w:top w:val="nil"/>
              <w:left w:val="nil"/>
              <w:bottom w:val="nil"/>
              <w:right w:val="nil"/>
            </w:tcBorders>
            <w:shd w:val="clear" w:color="auto" w:fill="auto"/>
            <w:noWrap/>
            <w:vAlign w:val="bottom"/>
          </w:tcPr>
          <w:p w14:paraId="5DED12F0"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6AFC5687"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Frequency Response</w:t>
            </w:r>
          </w:p>
        </w:tc>
        <w:tc>
          <w:tcPr>
            <w:tcW w:w="2030" w:type="dxa"/>
            <w:tcBorders>
              <w:top w:val="nil"/>
              <w:left w:val="nil"/>
              <w:bottom w:val="nil"/>
              <w:right w:val="nil"/>
            </w:tcBorders>
            <w:shd w:val="clear" w:color="auto" w:fill="auto"/>
            <w:hideMark/>
          </w:tcPr>
          <w:p w14:paraId="6D9074F9"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59E45F14" w14:textId="77777777" w:rsidR="000863B7" w:rsidRPr="000863B7" w:rsidRDefault="000863B7" w:rsidP="000863B7">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29206E64"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5C37A9EC"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5E7EBA65"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2230F5AB" w14:textId="77777777" w:rsidTr="000B0600">
        <w:trPr>
          <w:trHeight w:val="900"/>
        </w:trPr>
        <w:tc>
          <w:tcPr>
            <w:tcW w:w="360" w:type="dxa"/>
            <w:tcBorders>
              <w:top w:val="nil"/>
              <w:left w:val="nil"/>
              <w:bottom w:val="nil"/>
              <w:right w:val="nil"/>
            </w:tcBorders>
            <w:shd w:val="clear" w:color="auto" w:fill="auto"/>
            <w:noWrap/>
            <w:vAlign w:val="bottom"/>
          </w:tcPr>
          <w:p w14:paraId="22FBA3C7"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AC6D32D"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Abnormal performance capability (ride-through) requirements for inverter based applications</w:t>
            </w:r>
          </w:p>
        </w:tc>
        <w:tc>
          <w:tcPr>
            <w:tcW w:w="2030" w:type="dxa"/>
            <w:tcBorders>
              <w:top w:val="nil"/>
              <w:left w:val="nil"/>
              <w:bottom w:val="nil"/>
              <w:right w:val="nil"/>
            </w:tcBorders>
            <w:shd w:val="clear" w:color="auto" w:fill="auto"/>
            <w:hideMark/>
          </w:tcPr>
          <w:p w14:paraId="28A01C92"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2174E1DC"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1C098014" w14:textId="77777777" w:rsidR="000863B7" w:rsidRPr="000863B7" w:rsidRDefault="000863B7" w:rsidP="000863B7">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338339DC"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4C4F8869"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40EBBEBA" w14:textId="77777777" w:rsidTr="000B0600">
        <w:trPr>
          <w:trHeight w:val="900"/>
        </w:trPr>
        <w:tc>
          <w:tcPr>
            <w:tcW w:w="360" w:type="dxa"/>
            <w:tcBorders>
              <w:top w:val="nil"/>
              <w:left w:val="nil"/>
              <w:bottom w:val="nil"/>
              <w:right w:val="nil"/>
            </w:tcBorders>
            <w:shd w:val="clear" w:color="auto" w:fill="auto"/>
            <w:noWrap/>
            <w:vAlign w:val="bottom"/>
          </w:tcPr>
          <w:p w14:paraId="4B4D6C93"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744B19DE"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Other grid support utility interactive inverter functions statuses</w:t>
            </w:r>
          </w:p>
        </w:tc>
        <w:tc>
          <w:tcPr>
            <w:tcW w:w="2030" w:type="dxa"/>
            <w:tcBorders>
              <w:top w:val="nil"/>
              <w:left w:val="nil"/>
              <w:bottom w:val="nil"/>
              <w:right w:val="nil"/>
            </w:tcBorders>
            <w:shd w:val="clear" w:color="auto" w:fill="auto"/>
            <w:hideMark/>
          </w:tcPr>
          <w:p w14:paraId="002C4B05"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400" w:type="dxa"/>
            <w:gridSpan w:val="3"/>
            <w:tcBorders>
              <w:top w:val="nil"/>
              <w:left w:val="nil"/>
              <w:bottom w:val="nil"/>
              <w:right w:val="nil"/>
            </w:tcBorders>
            <w:shd w:val="clear" w:color="auto" w:fill="auto"/>
            <w:hideMark/>
          </w:tcPr>
          <w:p w14:paraId="3E46AB8D" w14:textId="77777777" w:rsidR="000863B7" w:rsidRPr="000863B7" w:rsidRDefault="000863B7" w:rsidP="000863B7">
            <w:pPr>
              <w:spacing w:after="0" w:line="240" w:lineRule="auto"/>
              <w:jc w:val="center"/>
              <w:rPr>
                <w:rFonts w:ascii="Calibri" w:eastAsia="Times New Roman" w:hAnsi="Calibri" w:cs="Calibri"/>
                <w:color w:val="000000"/>
              </w:rPr>
            </w:pPr>
          </w:p>
        </w:tc>
        <w:tc>
          <w:tcPr>
            <w:tcW w:w="1040" w:type="dxa"/>
            <w:tcBorders>
              <w:top w:val="nil"/>
              <w:left w:val="nil"/>
              <w:bottom w:val="nil"/>
              <w:right w:val="nil"/>
            </w:tcBorders>
            <w:shd w:val="clear" w:color="auto" w:fill="auto"/>
            <w:hideMark/>
          </w:tcPr>
          <w:p w14:paraId="3830048F"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252BBCFD"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19FE03FD"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77F99EEF" w14:textId="77777777" w:rsidTr="000B0600">
        <w:trPr>
          <w:trHeight w:val="300"/>
        </w:trPr>
        <w:tc>
          <w:tcPr>
            <w:tcW w:w="360" w:type="dxa"/>
            <w:tcBorders>
              <w:top w:val="nil"/>
              <w:left w:val="nil"/>
              <w:bottom w:val="nil"/>
              <w:right w:val="nil"/>
            </w:tcBorders>
            <w:shd w:val="clear" w:color="auto" w:fill="auto"/>
            <w:noWrap/>
            <w:vAlign w:val="bottom"/>
          </w:tcPr>
          <w:p w14:paraId="2F00B9CB"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49E45A84"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Minimum protection functions</w:t>
            </w:r>
          </w:p>
        </w:tc>
        <w:tc>
          <w:tcPr>
            <w:tcW w:w="2030" w:type="dxa"/>
            <w:tcBorders>
              <w:top w:val="nil"/>
              <w:left w:val="nil"/>
              <w:bottom w:val="nil"/>
              <w:right w:val="nil"/>
            </w:tcBorders>
            <w:shd w:val="clear" w:color="auto" w:fill="auto"/>
            <w:hideMark/>
          </w:tcPr>
          <w:p w14:paraId="58715584"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0EEA8172"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5574B9BF"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7A06AB3A"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6CE3BDEA"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000A1F0F" w14:textId="77777777" w:rsidTr="000B0600">
        <w:trPr>
          <w:trHeight w:val="300"/>
        </w:trPr>
        <w:tc>
          <w:tcPr>
            <w:tcW w:w="360" w:type="dxa"/>
            <w:tcBorders>
              <w:top w:val="nil"/>
              <w:left w:val="nil"/>
              <w:bottom w:val="nil"/>
              <w:right w:val="nil"/>
            </w:tcBorders>
            <w:shd w:val="clear" w:color="auto" w:fill="auto"/>
            <w:noWrap/>
            <w:vAlign w:val="bottom"/>
          </w:tcPr>
          <w:p w14:paraId="3E532A70"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178FEF05"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Monitoring and Control</w:t>
            </w:r>
          </w:p>
        </w:tc>
        <w:tc>
          <w:tcPr>
            <w:tcW w:w="2030" w:type="dxa"/>
            <w:tcBorders>
              <w:top w:val="nil"/>
              <w:left w:val="nil"/>
              <w:bottom w:val="nil"/>
              <w:right w:val="nil"/>
            </w:tcBorders>
            <w:shd w:val="clear" w:color="auto" w:fill="auto"/>
            <w:hideMark/>
          </w:tcPr>
          <w:p w14:paraId="07D14E9D"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03C18E91"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338706A0"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5E15F992"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0C1440E4"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4D873784" w14:textId="77777777" w:rsidTr="000B0600">
        <w:trPr>
          <w:trHeight w:val="300"/>
        </w:trPr>
        <w:tc>
          <w:tcPr>
            <w:tcW w:w="360" w:type="dxa"/>
            <w:tcBorders>
              <w:top w:val="nil"/>
              <w:left w:val="nil"/>
              <w:bottom w:val="nil"/>
              <w:right w:val="nil"/>
            </w:tcBorders>
            <w:shd w:val="clear" w:color="auto" w:fill="auto"/>
            <w:noWrap/>
            <w:vAlign w:val="bottom"/>
          </w:tcPr>
          <w:p w14:paraId="1F5626B8"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47181106"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Reconnection to the System</w:t>
            </w:r>
          </w:p>
        </w:tc>
        <w:tc>
          <w:tcPr>
            <w:tcW w:w="2030" w:type="dxa"/>
            <w:tcBorders>
              <w:top w:val="nil"/>
              <w:left w:val="nil"/>
              <w:bottom w:val="nil"/>
              <w:right w:val="nil"/>
            </w:tcBorders>
            <w:shd w:val="clear" w:color="auto" w:fill="auto"/>
            <w:hideMark/>
          </w:tcPr>
          <w:p w14:paraId="0151F2CB"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3FDC0088"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760D3061"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7305EFC6"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45CC668E"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13B655ED" w14:textId="77777777" w:rsidTr="000B0600">
        <w:trPr>
          <w:trHeight w:val="600"/>
        </w:trPr>
        <w:tc>
          <w:tcPr>
            <w:tcW w:w="360" w:type="dxa"/>
            <w:tcBorders>
              <w:top w:val="nil"/>
              <w:left w:val="nil"/>
              <w:bottom w:val="nil"/>
              <w:right w:val="nil"/>
            </w:tcBorders>
            <w:shd w:val="clear" w:color="auto" w:fill="auto"/>
            <w:noWrap/>
            <w:vAlign w:val="bottom"/>
          </w:tcPr>
          <w:p w14:paraId="5769AC4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0C03EEA7"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Distribution Protection Coordination</w:t>
            </w:r>
          </w:p>
        </w:tc>
        <w:tc>
          <w:tcPr>
            <w:tcW w:w="2030" w:type="dxa"/>
            <w:tcBorders>
              <w:top w:val="nil"/>
              <w:left w:val="nil"/>
              <w:bottom w:val="nil"/>
              <w:right w:val="nil"/>
            </w:tcBorders>
            <w:shd w:val="clear" w:color="auto" w:fill="auto"/>
            <w:hideMark/>
          </w:tcPr>
          <w:p w14:paraId="0DE726A2"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77C1BD89"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5E9122CF" w14:textId="77777777" w:rsidR="000863B7" w:rsidRPr="000863B7" w:rsidRDefault="000863B7" w:rsidP="000863B7">
            <w:pPr>
              <w:spacing w:after="0" w:line="240" w:lineRule="auto"/>
              <w:jc w:val="center"/>
              <w:rPr>
                <w:rFonts w:ascii="Calibri" w:eastAsia="Times New Roman" w:hAnsi="Calibri" w:cs="Calibri"/>
                <w:color w:val="000000"/>
              </w:rPr>
            </w:pPr>
          </w:p>
        </w:tc>
        <w:tc>
          <w:tcPr>
            <w:tcW w:w="1900" w:type="dxa"/>
            <w:gridSpan w:val="3"/>
            <w:tcBorders>
              <w:top w:val="nil"/>
              <w:left w:val="nil"/>
              <w:bottom w:val="nil"/>
              <w:right w:val="nil"/>
            </w:tcBorders>
            <w:shd w:val="clear" w:color="auto" w:fill="auto"/>
            <w:hideMark/>
          </w:tcPr>
          <w:p w14:paraId="00F14ABA"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960" w:type="dxa"/>
            <w:tcBorders>
              <w:top w:val="nil"/>
              <w:left w:val="nil"/>
              <w:bottom w:val="nil"/>
              <w:right w:val="nil"/>
            </w:tcBorders>
            <w:shd w:val="clear" w:color="auto" w:fill="auto"/>
            <w:hideMark/>
          </w:tcPr>
          <w:p w14:paraId="43CC67C9" w14:textId="77777777" w:rsidR="000863B7" w:rsidRPr="000863B7" w:rsidRDefault="000863B7" w:rsidP="000863B7">
            <w:pPr>
              <w:spacing w:after="0" w:line="240" w:lineRule="auto"/>
              <w:jc w:val="center"/>
              <w:rPr>
                <w:rFonts w:ascii="Calibri" w:eastAsia="Times New Roman" w:hAnsi="Calibri" w:cs="Calibri"/>
                <w:color w:val="000000"/>
              </w:rPr>
            </w:pPr>
          </w:p>
        </w:tc>
      </w:tr>
      <w:tr w:rsidR="000863B7" w:rsidRPr="000863B7" w14:paraId="3C5C949F" w14:textId="77777777" w:rsidTr="000B0600">
        <w:trPr>
          <w:trHeight w:val="300"/>
        </w:trPr>
        <w:tc>
          <w:tcPr>
            <w:tcW w:w="360" w:type="dxa"/>
            <w:tcBorders>
              <w:top w:val="nil"/>
              <w:left w:val="nil"/>
              <w:bottom w:val="nil"/>
              <w:right w:val="nil"/>
            </w:tcBorders>
            <w:shd w:val="clear" w:color="auto" w:fill="auto"/>
            <w:noWrap/>
            <w:vAlign w:val="bottom"/>
          </w:tcPr>
          <w:p w14:paraId="550B241D"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27753D29"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 xml:space="preserve">Inverter Certification </w:t>
            </w:r>
          </w:p>
        </w:tc>
        <w:tc>
          <w:tcPr>
            <w:tcW w:w="2030" w:type="dxa"/>
            <w:tcBorders>
              <w:top w:val="nil"/>
              <w:left w:val="nil"/>
              <w:bottom w:val="nil"/>
              <w:right w:val="nil"/>
            </w:tcBorders>
            <w:shd w:val="clear" w:color="auto" w:fill="auto"/>
            <w:hideMark/>
          </w:tcPr>
          <w:p w14:paraId="57B81274"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4BA8CDB2"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040" w:type="dxa"/>
            <w:tcBorders>
              <w:top w:val="nil"/>
              <w:left w:val="nil"/>
              <w:bottom w:val="nil"/>
              <w:right w:val="nil"/>
            </w:tcBorders>
            <w:shd w:val="clear" w:color="auto" w:fill="auto"/>
            <w:hideMark/>
          </w:tcPr>
          <w:p w14:paraId="25E81289"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531BE8AF"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70BA7663"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67EF3651" w14:textId="77777777" w:rsidTr="000B0600">
        <w:trPr>
          <w:trHeight w:val="300"/>
        </w:trPr>
        <w:tc>
          <w:tcPr>
            <w:tcW w:w="360" w:type="dxa"/>
            <w:tcBorders>
              <w:top w:val="nil"/>
              <w:left w:val="nil"/>
              <w:bottom w:val="nil"/>
              <w:right w:val="nil"/>
            </w:tcBorders>
            <w:shd w:val="clear" w:color="auto" w:fill="auto"/>
            <w:noWrap/>
            <w:vAlign w:val="bottom"/>
          </w:tcPr>
          <w:p w14:paraId="46BE7DE4"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hideMark/>
          </w:tcPr>
          <w:p w14:paraId="14F05D69" w14:textId="77777777" w:rsidR="000863B7" w:rsidRPr="000863B7" w:rsidRDefault="000863B7" w:rsidP="000863B7">
            <w:pPr>
              <w:spacing w:after="0" w:line="240" w:lineRule="auto"/>
              <w:rPr>
                <w:rFonts w:ascii="Calibri" w:eastAsia="Times New Roman" w:hAnsi="Calibri" w:cs="Calibri"/>
                <w:color w:val="000000"/>
              </w:rPr>
            </w:pPr>
            <w:r w:rsidRPr="000863B7">
              <w:rPr>
                <w:rFonts w:ascii="Calibri" w:eastAsia="Times New Roman" w:hAnsi="Calibri" w:cs="Calibri"/>
                <w:color w:val="000000"/>
              </w:rPr>
              <w:t>Power Quality</w:t>
            </w:r>
          </w:p>
        </w:tc>
        <w:tc>
          <w:tcPr>
            <w:tcW w:w="2030" w:type="dxa"/>
            <w:tcBorders>
              <w:top w:val="nil"/>
              <w:left w:val="nil"/>
              <w:bottom w:val="nil"/>
              <w:right w:val="nil"/>
            </w:tcBorders>
            <w:shd w:val="clear" w:color="auto" w:fill="auto"/>
            <w:hideMark/>
          </w:tcPr>
          <w:p w14:paraId="643C46DB" w14:textId="77777777" w:rsidR="000863B7" w:rsidRPr="000863B7" w:rsidRDefault="000863B7" w:rsidP="000863B7">
            <w:pPr>
              <w:spacing w:after="0" w:line="240" w:lineRule="auto"/>
              <w:rPr>
                <w:rFonts w:ascii="Calibri" w:eastAsia="Times New Roman" w:hAnsi="Calibri" w:cs="Calibri"/>
                <w:color w:val="000000"/>
              </w:rPr>
            </w:pPr>
          </w:p>
        </w:tc>
        <w:tc>
          <w:tcPr>
            <w:tcW w:w="1400" w:type="dxa"/>
            <w:gridSpan w:val="3"/>
            <w:tcBorders>
              <w:top w:val="nil"/>
              <w:left w:val="nil"/>
              <w:bottom w:val="nil"/>
              <w:right w:val="nil"/>
            </w:tcBorders>
            <w:shd w:val="clear" w:color="auto" w:fill="auto"/>
            <w:hideMark/>
          </w:tcPr>
          <w:p w14:paraId="777724DC"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30CDFBF1" w14:textId="77777777" w:rsidR="000863B7" w:rsidRPr="000863B7" w:rsidRDefault="000863B7" w:rsidP="000863B7">
            <w:pPr>
              <w:spacing w:after="0" w:line="240" w:lineRule="auto"/>
              <w:jc w:val="center"/>
              <w:rPr>
                <w:rFonts w:ascii="Calibri" w:eastAsia="Times New Roman" w:hAnsi="Calibri" w:cs="Calibri"/>
                <w:color w:val="000000"/>
              </w:rPr>
            </w:pPr>
            <w:r w:rsidRPr="000863B7">
              <w:rPr>
                <w:rFonts w:ascii="Calibri" w:eastAsia="Times New Roman" w:hAnsi="Calibri" w:cs="Calibri"/>
                <w:color w:val="000000"/>
              </w:rPr>
              <w:t>yes</w:t>
            </w:r>
          </w:p>
        </w:tc>
        <w:tc>
          <w:tcPr>
            <w:tcW w:w="1900" w:type="dxa"/>
            <w:gridSpan w:val="3"/>
            <w:tcBorders>
              <w:top w:val="nil"/>
              <w:left w:val="nil"/>
              <w:bottom w:val="nil"/>
              <w:right w:val="nil"/>
            </w:tcBorders>
            <w:shd w:val="clear" w:color="auto" w:fill="auto"/>
            <w:hideMark/>
          </w:tcPr>
          <w:p w14:paraId="6947154E" w14:textId="77777777" w:rsidR="000863B7" w:rsidRPr="000863B7" w:rsidRDefault="000863B7" w:rsidP="000863B7">
            <w:pPr>
              <w:spacing w:after="0" w:line="240" w:lineRule="auto"/>
              <w:jc w:val="center"/>
              <w:rPr>
                <w:rFonts w:ascii="Calibri" w:eastAsia="Times New Roman" w:hAnsi="Calibri" w:cs="Calibri"/>
                <w:color w:val="000000"/>
              </w:rPr>
            </w:pPr>
          </w:p>
        </w:tc>
        <w:tc>
          <w:tcPr>
            <w:tcW w:w="960" w:type="dxa"/>
            <w:tcBorders>
              <w:top w:val="nil"/>
              <w:left w:val="nil"/>
              <w:bottom w:val="nil"/>
              <w:right w:val="nil"/>
            </w:tcBorders>
            <w:shd w:val="clear" w:color="auto" w:fill="auto"/>
            <w:hideMark/>
          </w:tcPr>
          <w:p w14:paraId="6709397C"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r w:rsidR="000863B7" w:rsidRPr="000863B7" w14:paraId="71E7B099" w14:textId="77777777" w:rsidTr="000B0600">
        <w:trPr>
          <w:trHeight w:val="300"/>
        </w:trPr>
        <w:tc>
          <w:tcPr>
            <w:tcW w:w="360" w:type="dxa"/>
            <w:tcBorders>
              <w:top w:val="nil"/>
              <w:left w:val="nil"/>
              <w:bottom w:val="nil"/>
              <w:right w:val="nil"/>
            </w:tcBorders>
            <w:shd w:val="clear" w:color="auto" w:fill="auto"/>
            <w:noWrap/>
            <w:vAlign w:val="bottom"/>
          </w:tcPr>
          <w:p w14:paraId="5F03AD52"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3460" w:type="dxa"/>
            <w:tcBorders>
              <w:top w:val="nil"/>
              <w:left w:val="nil"/>
              <w:bottom w:val="nil"/>
              <w:right w:val="nil"/>
            </w:tcBorders>
            <w:shd w:val="clear" w:color="auto" w:fill="auto"/>
            <w:noWrap/>
            <w:vAlign w:val="bottom"/>
            <w:hideMark/>
          </w:tcPr>
          <w:p w14:paraId="2B1D1236"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2030" w:type="dxa"/>
            <w:tcBorders>
              <w:top w:val="nil"/>
              <w:left w:val="nil"/>
              <w:bottom w:val="nil"/>
              <w:right w:val="nil"/>
            </w:tcBorders>
            <w:shd w:val="clear" w:color="auto" w:fill="auto"/>
            <w:hideMark/>
          </w:tcPr>
          <w:p w14:paraId="155058EB" w14:textId="77777777" w:rsidR="000863B7" w:rsidRPr="000863B7" w:rsidRDefault="000863B7" w:rsidP="000863B7">
            <w:pPr>
              <w:spacing w:after="0" w:line="240" w:lineRule="auto"/>
              <w:rPr>
                <w:rFonts w:ascii="Times New Roman" w:eastAsia="Times New Roman" w:hAnsi="Times New Roman" w:cs="Times New Roman"/>
                <w:sz w:val="20"/>
                <w:szCs w:val="20"/>
              </w:rPr>
            </w:pPr>
          </w:p>
        </w:tc>
        <w:tc>
          <w:tcPr>
            <w:tcW w:w="1400" w:type="dxa"/>
            <w:gridSpan w:val="3"/>
            <w:tcBorders>
              <w:top w:val="nil"/>
              <w:left w:val="nil"/>
              <w:bottom w:val="nil"/>
              <w:right w:val="nil"/>
            </w:tcBorders>
            <w:shd w:val="clear" w:color="auto" w:fill="auto"/>
            <w:hideMark/>
          </w:tcPr>
          <w:p w14:paraId="466FE4CB"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040" w:type="dxa"/>
            <w:tcBorders>
              <w:top w:val="nil"/>
              <w:left w:val="nil"/>
              <w:bottom w:val="nil"/>
              <w:right w:val="nil"/>
            </w:tcBorders>
            <w:shd w:val="clear" w:color="auto" w:fill="auto"/>
            <w:hideMark/>
          </w:tcPr>
          <w:p w14:paraId="4DA92D24"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1900" w:type="dxa"/>
            <w:gridSpan w:val="3"/>
            <w:tcBorders>
              <w:top w:val="nil"/>
              <w:left w:val="nil"/>
              <w:bottom w:val="nil"/>
              <w:right w:val="nil"/>
            </w:tcBorders>
            <w:shd w:val="clear" w:color="auto" w:fill="auto"/>
            <w:hideMark/>
          </w:tcPr>
          <w:p w14:paraId="6E359F68"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c>
          <w:tcPr>
            <w:tcW w:w="960" w:type="dxa"/>
            <w:tcBorders>
              <w:top w:val="nil"/>
              <w:left w:val="nil"/>
              <w:bottom w:val="nil"/>
              <w:right w:val="nil"/>
            </w:tcBorders>
            <w:shd w:val="clear" w:color="auto" w:fill="auto"/>
            <w:hideMark/>
          </w:tcPr>
          <w:p w14:paraId="1A31571D" w14:textId="77777777" w:rsidR="000863B7" w:rsidRPr="000863B7" w:rsidRDefault="000863B7" w:rsidP="000863B7">
            <w:pPr>
              <w:spacing w:after="0" w:line="240" w:lineRule="auto"/>
              <w:jc w:val="center"/>
              <w:rPr>
                <w:rFonts w:ascii="Times New Roman" w:eastAsia="Times New Roman" w:hAnsi="Times New Roman" w:cs="Times New Roman"/>
                <w:sz w:val="20"/>
                <w:szCs w:val="20"/>
              </w:rPr>
            </w:pPr>
          </w:p>
        </w:tc>
      </w:tr>
    </w:tbl>
    <w:p w14:paraId="606EDF35" w14:textId="49DF5E65" w:rsidR="00D57288" w:rsidRPr="00D770FC" w:rsidRDefault="00D57288" w:rsidP="00714830"/>
    <w:sectPr w:rsidR="00D57288" w:rsidRPr="00D770FC" w:rsidSect="002B0F02">
      <w:headerReference w:type="default" r:id="rId19"/>
      <w:pgSz w:w="12240" w:h="15840"/>
      <w:pgMar w:top="1440" w:right="1440" w:bottom="1440" w:left="1440" w:header="720" w:footer="720" w:gutter="0"/>
      <w:cols w:space="720"/>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C9603B9" w16cid:durableId="20A89399"/>
  <w16cid:commentId w16cid:paraId="5219C385" w16cid:durableId="20A8939A"/>
  <w16cid:commentId w16cid:paraId="416EB423" w16cid:durableId="20A8939B"/>
  <w16cid:commentId w16cid:paraId="4F016EFE" w16cid:durableId="20A89572"/>
  <w16cid:commentId w16cid:paraId="050BDCAB" w16cid:durableId="20A895BB"/>
  <w16cid:commentId w16cid:paraId="331D5028" w16cid:durableId="20A895A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BB0959" w14:textId="77777777" w:rsidR="00AD4279" w:rsidRDefault="00AD4279" w:rsidP="00A81BFC">
      <w:pPr>
        <w:spacing w:after="0" w:line="240" w:lineRule="auto"/>
      </w:pPr>
      <w:r>
        <w:separator/>
      </w:r>
    </w:p>
  </w:endnote>
  <w:endnote w:type="continuationSeparator" w:id="0">
    <w:p w14:paraId="3F0AA116" w14:textId="77777777" w:rsidR="00AD4279" w:rsidRDefault="00AD4279" w:rsidP="00A81B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eiryo">
    <w:altName w:val="MS Gothic"/>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4F3B74" w14:textId="0183BA82" w:rsidR="00F24DDC" w:rsidRDefault="00F24DDC">
    <w:pPr>
      <w:pStyle w:val="Footer"/>
    </w:pPr>
    <w:r>
      <w:tab/>
    </w:r>
    <w:r>
      <w:fldChar w:fldCharType="begin"/>
    </w:r>
    <w:r>
      <w:instrText xml:space="preserve"> PAGE   \* MERGEFORMAT </w:instrText>
    </w:r>
    <w:r>
      <w:fldChar w:fldCharType="separate"/>
    </w:r>
    <w:r w:rsidR="0036521F">
      <w:rPr>
        <w:noProof/>
      </w:rPr>
      <w:t>2</w:t>
    </w:r>
    <w:r>
      <w:rPr>
        <w:noProof/>
      </w:rPr>
      <w:fldChar w:fldCharType="end"/>
    </w: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AD6D58" w14:textId="77777777" w:rsidR="00AD4279" w:rsidRDefault="00AD4279" w:rsidP="00A81BFC">
      <w:pPr>
        <w:spacing w:after="0" w:line="240" w:lineRule="auto"/>
      </w:pPr>
      <w:r>
        <w:separator/>
      </w:r>
    </w:p>
  </w:footnote>
  <w:footnote w:type="continuationSeparator" w:id="0">
    <w:p w14:paraId="4E07EBF5" w14:textId="77777777" w:rsidR="00AD4279" w:rsidRDefault="00AD4279" w:rsidP="00A81BFC">
      <w:pPr>
        <w:spacing w:after="0" w:line="240" w:lineRule="auto"/>
      </w:pPr>
      <w:r>
        <w:continuationSeparator/>
      </w:r>
    </w:p>
  </w:footnote>
  <w:footnote w:id="1">
    <w:p w14:paraId="6FA3904B" w14:textId="77777777" w:rsidR="00F24DDC" w:rsidRPr="00363CCA" w:rsidRDefault="00F24DDC" w:rsidP="00363CCA">
      <w:pPr>
        <w:pStyle w:val="FootnoteText"/>
      </w:pPr>
      <w:r>
        <w:rPr>
          <w:rStyle w:val="FootnoteReference"/>
        </w:rPr>
        <w:footnoteRef/>
      </w:r>
      <w:r>
        <w:t xml:space="preserve"> Reliable Operation is defined in 16 U.S. Code § 824o and </w:t>
      </w:r>
      <w:r w:rsidRPr="00363CCA">
        <w:t xml:space="preserve">means </w:t>
      </w:r>
      <w:r>
        <w:t>“</w:t>
      </w:r>
      <w:r w:rsidRPr="00363CCA">
        <w:t>operating the elements of the bulk-power system within equipment and electric system thermal, voltage, and stability limits so that instability, uncontrolled separation, or cascading failures of such system will not occur as a result of a sudden disturbance, including a cybersecurity incident, or unanticipated failure of system elements.</w:t>
      </w:r>
      <w:r>
        <w:t>”</w:t>
      </w:r>
    </w:p>
  </w:footnote>
  <w:footnote w:id="2">
    <w:p w14:paraId="70E374CB" w14:textId="77777777" w:rsidR="00F24DDC" w:rsidRDefault="00F24DDC">
      <w:pPr>
        <w:pStyle w:val="FootnoteText"/>
      </w:pPr>
      <w:r>
        <w:rPr>
          <w:rStyle w:val="FootnoteReference"/>
        </w:rPr>
        <w:footnoteRef/>
      </w:r>
      <w:r>
        <w:t xml:space="preserve"> See NERC Rule of Procedure #313 on page 15 of the </w:t>
      </w:r>
      <w:hyperlink r:id="rId1" w:history="1">
        <w:r>
          <w:rPr>
            <w:rStyle w:val="Hyperlink"/>
          </w:rPr>
          <w:t>NERC Rules of Procedure 3-9-2018</w:t>
        </w:r>
      </w:hyperlink>
      <w:r>
        <w:t>.</w:t>
      </w:r>
    </w:p>
  </w:footnote>
  <w:footnote w:id="3">
    <w:p w14:paraId="61049125" w14:textId="77777777" w:rsidR="00F24DDC" w:rsidRDefault="00F24DDC">
      <w:pPr>
        <w:pStyle w:val="FootnoteText"/>
      </w:pPr>
      <w:r>
        <w:rPr>
          <w:rStyle w:val="FootnoteReference"/>
        </w:rPr>
        <w:footnoteRef/>
      </w:r>
      <w:r>
        <w:t xml:space="preserve"> The method of identifying critical facilities is currently embodied in the </w:t>
      </w:r>
      <w:hyperlink r:id="rId2" w:history="1">
        <w:r w:rsidRPr="00CF3F53">
          <w:rPr>
            <w:rStyle w:val="Hyperlink"/>
          </w:rPr>
          <w:t>NPCC A-10 Classification of Bulk Power System Elements</w:t>
        </w:r>
      </w:hyperlink>
      <w:r>
        <w:t xml:space="preserve"> document, currently under review by the CP-11 Working Group with a due date of October 31, 2018.</w:t>
      </w:r>
    </w:p>
  </w:footnote>
  <w:footnote w:id="4">
    <w:p w14:paraId="07412CF5" w14:textId="77777777" w:rsidR="00F24DDC" w:rsidRDefault="00F24DDC" w:rsidP="007D19F2">
      <w:pPr>
        <w:pStyle w:val="FootnoteText"/>
      </w:pPr>
      <w:r>
        <w:rPr>
          <w:rStyle w:val="FootnoteReference"/>
        </w:rPr>
        <w:footnoteRef/>
      </w:r>
      <w:r>
        <w:t xml:space="preserve"> The NPCC Bulk Power System is identified by a specific list of facilities in the NPCC region deemed critical by the NPCC A-10 classification process. This list is not determined based on the definition of the ERO Bulk Power System, which is defined in the US 2005 EPACT as:</w:t>
      </w:r>
    </w:p>
    <w:p w14:paraId="6A6677C9" w14:textId="77777777" w:rsidR="00F24DDC" w:rsidRDefault="00F24DDC" w:rsidP="007D19F2">
      <w:pPr>
        <w:pStyle w:val="FootnoteText"/>
      </w:pPr>
      <w:r>
        <w:t xml:space="preserve"> ‘‘(A) facilities and control systems necessary for operating an interconnected electric energy transmission network (or any portion thereof); and</w:t>
      </w:r>
    </w:p>
    <w:p w14:paraId="780E507A" w14:textId="77777777" w:rsidR="00F24DDC" w:rsidRDefault="00F24DDC" w:rsidP="007D19F2">
      <w:pPr>
        <w:pStyle w:val="FootnoteText"/>
      </w:pPr>
      <w:r>
        <w:t>‘‘(B) electric energy from generation facilities needed to maintain transmission system reliability.</w:t>
      </w:r>
    </w:p>
    <w:p w14:paraId="58325F31" w14:textId="77777777" w:rsidR="00F24DDC" w:rsidRDefault="00F24DDC" w:rsidP="007D19F2">
      <w:pPr>
        <w:pStyle w:val="FootnoteText"/>
      </w:pPr>
      <w:r>
        <w:t>The term does not include facilities used in the local distribution of electric energy.</w:t>
      </w:r>
    </w:p>
  </w:footnote>
  <w:footnote w:id="5">
    <w:p w14:paraId="1F7AB2D8" w14:textId="77777777" w:rsidR="00F24DDC" w:rsidRDefault="00F24DDC">
      <w:pPr>
        <w:pStyle w:val="FootnoteText"/>
      </w:pPr>
      <w:r>
        <w:rPr>
          <w:rStyle w:val="FootnoteReference"/>
        </w:rPr>
        <w:footnoteRef/>
      </w:r>
      <w:r>
        <w:t xml:space="preserve"> There are other documents which supplement the Directories, for instance the NPCC Compliance Guidance Statements. These documents usually refer to NERC standards applicability and can be found here: </w:t>
      </w:r>
      <w:hyperlink r:id="rId3" w:history="1">
        <w:r w:rsidRPr="00D32605">
          <w:rPr>
            <w:rStyle w:val="Hyperlink"/>
          </w:rPr>
          <w:t>NPCC CGS</w:t>
        </w:r>
      </w:hyperlink>
      <w:r>
        <w:t xml:space="preserve"> </w:t>
      </w:r>
    </w:p>
  </w:footnote>
  <w:footnote w:id="6">
    <w:p w14:paraId="412BCC5B" w14:textId="77777777" w:rsidR="00F24DDC" w:rsidRDefault="00F24DDC" w:rsidP="00D32605">
      <w:pPr>
        <w:pStyle w:val="FootnoteText"/>
      </w:pPr>
      <w:r>
        <w:rPr>
          <w:rStyle w:val="FootnoteReference"/>
        </w:rPr>
        <w:footnoteRef/>
      </w:r>
      <w:r>
        <w:t xml:space="preserve"> NERC </w:t>
      </w:r>
      <w:hyperlink r:id="rId4" w:history="1">
        <w:r w:rsidRPr="00D32605">
          <w:rPr>
            <w:rStyle w:val="Hyperlink"/>
          </w:rPr>
          <w:t>Rule of Procedure</w:t>
        </w:r>
      </w:hyperlink>
      <w:r>
        <w:t xml:space="preserve"> #313 (page 15) permits the following: “Regional Entities may develop Regional Criteria that are necessary to implement, to augment, or to comply with NERC Reliability Standards, but which are not Reliability Standards. Regional Criteria may also address issues not within the scope of Reliability Standards, such as resource adequacy. “</w:t>
      </w:r>
    </w:p>
  </w:footnote>
  <w:footnote w:id="7">
    <w:p w14:paraId="484B8843" w14:textId="77777777" w:rsidR="00F24DDC" w:rsidRDefault="00F24DDC">
      <w:pPr>
        <w:pStyle w:val="FootnoteText"/>
      </w:pPr>
      <w:r>
        <w:rPr>
          <w:rStyle w:val="FootnoteReference"/>
        </w:rPr>
        <w:footnoteRef/>
      </w:r>
      <w:r>
        <w:t xml:space="preserve"> Reference NERC’s recent</w:t>
      </w:r>
      <w:hyperlink r:id="rId5" w:history="1">
        <w:r w:rsidRPr="008F6300">
          <w:rPr>
            <w:rStyle w:val="Hyperlink"/>
          </w:rPr>
          <w:t xml:space="preserve"> filing</w:t>
        </w:r>
      </w:hyperlink>
      <w:r>
        <w:t xml:space="preserve"> with FERC regarding Resilience for a more complete discussion of the relationship between resilience, the NERC standards and the NAICS Resilience Framework. FERC is expected to define resilience in the course of its current examination of electric system resilience concepts.</w:t>
      </w:r>
    </w:p>
  </w:footnote>
  <w:footnote w:id="8">
    <w:p w14:paraId="14B75DF1" w14:textId="77777777" w:rsidR="00F24DDC" w:rsidRDefault="00F24DDC">
      <w:pPr>
        <w:pStyle w:val="FootnoteText"/>
      </w:pPr>
      <w:r>
        <w:rPr>
          <w:rStyle w:val="FootnoteReference"/>
        </w:rPr>
        <w:footnoteRef/>
      </w:r>
      <w:r>
        <w:t xml:space="preserve">In the US, </w:t>
      </w:r>
      <w:hyperlink r:id="rId6" w:history="1">
        <w:r>
          <w:rPr>
            <w:rStyle w:val="Hyperlink"/>
          </w:rPr>
          <w:t>Presidential Policy Directive – 21</w:t>
        </w:r>
      </w:hyperlink>
      <w:r>
        <w:t xml:space="preserve"> defines resilience as “T</w:t>
      </w:r>
      <w:r w:rsidRPr="00825940">
        <w:t>he ability to prepare for and adapt to changing conditions and withstand and recover rapidly from disruptions. Resilience includes the ability to withstand and recover from deliberate attacks, accidents, or naturally occurring threats or incidents</w:t>
      </w:r>
      <w:r>
        <w:t>”</w:t>
      </w:r>
      <w:r w:rsidRPr="00825940">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CD4952" w14:textId="77777777" w:rsidR="00F24DDC" w:rsidRDefault="00F24DDC">
    <w:pPr>
      <w:pStyle w:val="Header"/>
    </w:pPr>
    <w:r w:rsidRPr="002B5D38">
      <w:rPr>
        <w:noProof/>
      </w:rPr>
      <w:t xml:space="preserve"> </w:t>
    </w:r>
  </w:p>
  <w:p w14:paraId="5C82858F" w14:textId="77777777" w:rsidR="00F24DDC" w:rsidRDefault="00F24D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6F0874" w14:textId="77777777" w:rsidR="00F24DDC" w:rsidRDefault="00F24DDC">
    <w:pPr>
      <w:pStyle w:val="Header"/>
    </w:pPr>
    <w:r w:rsidRPr="002B5D38">
      <w:rPr>
        <w:noProof/>
      </w:rPr>
      <w:t xml:space="preserve"> </w:t>
    </w:r>
  </w:p>
  <w:p w14:paraId="19A3FDD8" w14:textId="77777777" w:rsidR="00F24DDC" w:rsidRDefault="00F24D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9pt;height:.9pt;visibility:visible;mso-wrap-style:square" o:bullet="t">
        <v:imagedata r:id="rId1" o:title=""/>
      </v:shape>
    </w:pict>
  </w:numPicBullet>
  <w:abstractNum w:abstractNumId="0" w15:restartNumberingAfterBreak="0">
    <w:nsid w:val="00000402"/>
    <w:multiLevelType w:val="multilevel"/>
    <w:tmpl w:val="00000885"/>
    <w:lvl w:ilvl="0">
      <w:start w:val="1"/>
      <w:numFmt w:val="lowerLetter"/>
      <w:lvlText w:val="%1."/>
      <w:lvlJc w:val="left"/>
      <w:pPr>
        <w:ind w:left="571" w:hanging="180"/>
      </w:pPr>
      <w:rPr>
        <w:rFonts w:ascii="Calibri" w:hAnsi="Calibri" w:cs="Calibri"/>
        <w:b w:val="0"/>
        <w:bCs w:val="0"/>
        <w:w w:val="99"/>
        <w:sz w:val="14"/>
        <w:szCs w:val="14"/>
      </w:rPr>
    </w:lvl>
    <w:lvl w:ilvl="1">
      <w:numFmt w:val="bullet"/>
      <w:lvlText w:val="•"/>
      <w:lvlJc w:val="left"/>
      <w:pPr>
        <w:ind w:left="1556" w:hanging="180"/>
      </w:pPr>
    </w:lvl>
    <w:lvl w:ilvl="2">
      <w:numFmt w:val="bullet"/>
      <w:lvlText w:val="•"/>
      <w:lvlJc w:val="left"/>
      <w:pPr>
        <w:ind w:left="2532" w:hanging="180"/>
      </w:pPr>
    </w:lvl>
    <w:lvl w:ilvl="3">
      <w:numFmt w:val="bullet"/>
      <w:lvlText w:val="•"/>
      <w:lvlJc w:val="left"/>
      <w:pPr>
        <w:ind w:left="3508" w:hanging="180"/>
      </w:pPr>
    </w:lvl>
    <w:lvl w:ilvl="4">
      <w:numFmt w:val="bullet"/>
      <w:lvlText w:val="•"/>
      <w:lvlJc w:val="left"/>
      <w:pPr>
        <w:ind w:left="4484" w:hanging="180"/>
      </w:pPr>
    </w:lvl>
    <w:lvl w:ilvl="5">
      <w:numFmt w:val="bullet"/>
      <w:lvlText w:val="•"/>
      <w:lvlJc w:val="left"/>
      <w:pPr>
        <w:ind w:left="5460" w:hanging="180"/>
      </w:pPr>
    </w:lvl>
    <w:lvl w:ilvl="6">
      <w:numFmt w:val="bullet"/>
      <w:lvlText w:val="•"/>
      <w:lvlJc w:val="left"/>
      <w:pPr>
        <w:ind w:left="6436" w:hanging="180"/>
      </w:pPr>
    </w:lvl>
    <w:lvl w:ilvl="7">
      <w:numFmt w:val="bullet"/>
      <w:lvlText w:val="•"/>
      <w:lvlJc w:val="left"/>
      <w:pPr>
        <w:ind w:left="7412" w:hanging="180"/>
      </w:pPr>
    </w:lvl>
    <w:lvl w:ilvl="8">
      <w:numFmt w:val="bullet"/>
      <w:lvlText w:val="•"/>
      <w:lvlJc w:val="left"/>
      <w:pPr>
        <w:ind w:left="8388" w:hanging="180"/>
      </w:pPr>
    </w:lvl>
  </w:abstractNum>
  <w:abstractNum w:abstractNumId="1" w15:restartNumberingAfterBreak="0">
    <w:nsid w:val="02AE01CD"/>
    <w:multiLevelType w:val="hybridMultilevel"/>
    <w:tmpl w:val="FC4E04A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A160F3B"/>
    <w:multiLevelType w:val="multilevel"/>
    <w:tmpl w:val="E9C014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25C7FD3"/>
    <w:multiLevelType w:val="hybridMultilevel"/>
    <w:tmpl w:val="5E4E306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9227512"/>
    <w:multiLevelType w:val="hybridMultilevel"/>
    <w:tmpl w:val="3C7CE13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602DDF"/>
    <w:multiLevelType w:val="hybridMultilevel"/>
    <w:tmpl w:val="123E19FA"/>
    <w:lvl w:ilvl="0" w:tplc="DCD6A148">
      <w:start w:val="1"/>
      <w:numFmt w:val="bullet"/>
      <w:lvlText w:val=""/>
      <w:lvlPicBulletId w:val="0"/>
      <w:lvlJc w:val="left"/>
      <w:pPr>
        <w:tabs>
          <w:tab w:val="num" w:pos="720"/>
        </w:tabs>
        <w:ind w:left="720" w:hanging="360"/>
      </w:pPr>
      <w:rPr>
        <w:rFonts w:ascii="Symbol" w:hAnsi="Symbol" w:hint="default"/>
      </w:rPr>
    </w:lvl>
    <w:lvl w:ilvl="1" w:tplc="B4A6E3DC" w:tentative="1">
      <w:start w:val="1"/>
      <w:numFmt w:val="bullet"/>
      <w:lvlText w:val=""/>
      <w:lvlJc w:val="left"/>
      <w:pPr>
        <w:tabs>
          <w:tab w:val="num" w:pos="1440"/>
        </w:tabs>
        <w:ind w:left="1440" w:hanging="360"/>
      </w:pPr>
      <w:rPr>
        <w:rFonts w:ascii="Symbol" w:hAnsi="Symbol" w:hint="default"/>
      </w:rPr>
    </w:lvl>
    <w:lvl w:ilvl="2" w:tplc="FFD43480" w:tentative="1">
      <w:start w:val="1"/>
      <w:numFmt w:val="bullet"/>
      <w:lvlText w:val=""/>
      <w:lvlJc w:val="left"/>
      <w:pPr>
        <w:tabs>
          <w:tab w:val="num" w:pos="2160"/>
        </w:tabs>
        <w:ind w:left="2160" w:hanging="360"/>
      </w:pPr>
      <w:rPr>
        <w:rFonts w:ascii="Symbol" w:hAnsi="Symbol" w:hint="default"/>
      </w:rPr>
    </w:lvl>
    <w:lvl w:ilvl="3" w:tplc="944A48BA" w:tentative="1">
      <w:start w:val="1"/>
      <w:numFmt w:val="bullet"/>
      <w:lvlText w:val=""/>
      <w:lvlJc w:val="left"/>
      <w:pPr>
        <w:tabs>
          <w:tab w:val="num" w:pos="2880"/>
        </w:tabs>
        <w:ind w:left="2880" w:hanging="360"/>
      </w:pPr>
      <w:rPr>
        <w:rFonts w:ascii="Symbol" w:hAnsi="Symbol" w:hint="default"/>
      </w:rPr>
    </w:lvl>
    <w:lvl w:ilvl="4" w:tplc="83F6DEA2" w:tentative="1">
      <w:start w:val="1"/>
      <w:numFmt w:val="bullet"/>
      <w:lvlText w:val=""/>
      <w:lvlJc w:val="left"/>
      <w:pPr>
        <w:tabs>
          <w:tab w:val="num" w:pos="3600"/>
        </w:tabs>
        <w:ind w:left="3600" w:hanging="360"/>
      </w:pPr>
      <w:rPr>
        <w:rFonts w:ascii="Symbol" w:hAnsi="Symbol" w:hint="default"/>
      </w:rPr>
    </w:lvl>
    <w:lvl w:ilvl="5" w:tplc="8F147B94" w:tentative="1">
      <w:start w:val="1"/>
      <w:numFmt w:val="bullet"/>
      <w:lvlText w:val=""/>
      <w:lvlJc w:val="left"/>
      <w:pPr>
        <w:tabs>
          <w:tab w:val="num" w:pos="4320"/>
        </w:tabs>
        <w:ind w:left="4320" w:hanging="360"/>
      </w:pPr>
      <w:rPr>
        <w:rFonts w:ascii="Symbol" w:hAnsi="Symbol" w:hint="default"/>
      </w:rPr>
    </w:lvl>
    <w:lvl w:ilvl="6" w:tplc="8354D736" w:tentative="1">
      <w:start w:val="1"/>
      <w:numFmt w:val="bullet"/>
      <w:lvlText w:val=""/>
      <w:lvlJc w:val="left"/>
      <w:pPr>
        <w:tabs>
          <w:tab w:val="num" w:pos="5040"/>
        </w:tabs>
        <w:ind w:left="5040" w:hanging="360"/>
      </w:pPr>
      <w:rPr>
        <w:rFonts w:ascii="Symbol" w:hAnsi="Symbol" w:hint="default"/>
      </w:rPr>
    </w:lvl>
    <w:lvl w:ilvl="7" w:tplc="B0703594" w:tentative="1">
      <w:start w:val="1"/>
      <w:numFmt w:val="bullet"/>
      <w:lvlText w:val=""/>
      <w:lvlJc w:val="left"/>
      <w:pPr>
        <w:tabs>
          <w:tab w:val="num" w:pos="5760"/>
        </w:tabs>
        <w:ind w:left="5760" w:hanging="360"/>
      </w:pPr>
      <w:rPr>
        <w:rFonts w:ascii="Symbol" w:hAnsi="Symbol" w:hint="default"/>
      </w:rPr>
    </w:lvl>
    <w:lvl w:ilvl="8" w:tplc="DF0A3076" w:tentative="1">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300109"/>
    <w:multiLevelType w:val="hybridMultilevel"/>
    <w:tmpl w:val="CAD020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432E73A1"/>
    <w:multiLevelType w:val="hybridMultilevel"/>
    <w:tmpl w:val="7814F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9922DF"/>
    <w:multiLevelType w:val="hybridMultilevel"/>
    <w:tmpl w:val="17A22604"/>
    <w:lvl w:ilvl="0" w:tplc="1009000F">
      <w:start w:val="1"/>
      <w:numFmt w:val="decimal"/>
      <w:lvlText w:val="%1."/>
      <w:lvlJc w:val="left"/>
      <w:pPr>
        <w:ind w:left="1620" w:hanging="360"/>
      </w:pPr>
    </w:lvl>
    <w:lvl w:ilvl="1" w:tplc="10090019" w:tentative="1">
      <w:start w:val="1"/>
      <w:numFmt w:val="lowerLetter"/>
      <w:lvlText w:val="%2."/>
      <w:lvlJc w:val="left"/>
      <w:pPr>
        <w:ind w:left="2340" w:hanging="360"/>
      </w:pPr>
    </w:lvl>
    <w:lvl w:ilvl="2" w:tplc="1009001B" w:tentative="1">
      <w:start w:val="1"/>
      <w:numFmt w:val="lowerRoman"/>
      <w:lvlText w:val="%3."/>
      <w:lvlJc w:val="right"/>
      <w:pPr>
        <w:ind w:left="3060" w:hanging="180"/>
      </w:pPr>
    </w:lvl>
    <w:lvl w:ilvl="3" w:tplc="1009000F" w:tentative="1">
      <w:start w:val="1"/>
      <w:numFmt w:val="decimal"/>
      <w:lvlText w:val="%4."/>
      <w:lvlJc w:val="left"/>
      <w:pPr>
        <w:ind w:left="3780" w:hanging="360"/>
      </w:pPr>
    </w:lvl>
    <w:lvl w:ilvl="4" w:tplc="10090019" w:tentative="1">
      <w:start w:val="1"/>
      <w:numFmt w:val="lowerLetter"/>
      <w:lvlText w:val="%5."/>
      <w:lvlJc w:val="left"/>
      <w:pPr>
        <w:ind w:left="4500" w:hanging="360"/>
      </w:pPr>
    </w:lvl>
    <w:lvl w:ilvl="5" w:tplc="1009001B" w:tentative="1">
      <w:start w:val="1"/>
      <w:numFmt w:val="lowerRoman"/>
      <w:lvlText w:val="%6."/>
      <w:lvlJc w:val="right"/>
      <w:pPr>
        <w:ind w:left="5220" w:hanging="180"/>
      </w:pPr>
    </w:lvl>
    <w:lvl w:ilvl="6" w:tplc="1009000F" w:tentative="1">
      <w:start w:val="1"/>
      <w:numFmt w:val="decimal"/>
      <w:lvlText w:val="%7."/>
      <w:lvlJc w:val="left"/>
      <w:pPr>
        <w:ind w:left="5940" w:hanging="360"/>
      </w:pPr>
    </w:lvl>
    <w:lvl w:ilvl="7" w:tplc="10090019" w:tentative="1">
      <w:start w:val="1"/>
      <w:numFmt w:val="lowerLetter"/>
      <w:lvlText w:val="%8."/>
      <w:lvlJc w:val="left"/>
      <w:pPr>
        <w:ind w:left="6660" w:hanging="360"/>
      </w:pPr>
    </w:lvl>
    <w:lvl w:ilvl="8" w:tplc="1009001B" w:tentative="1">
      <w:start w:val="1"/>
      <w:numFmt w:val="lowerRoman"/>
      <w:lvlText w:val="%9."/>
      <w:lvlJc w:val="right"/>
      <w:pPr>
        <w:ind w:left="7380" w:hanging="180"/>
      </w:pPr>
    </w:lvl>
  </w:abstractNum>
  <w:abstractNum w:abstractNumId="9" w15:restartNumberingAfterBreak="0">
    <w:nsid w:val="54B9135F"/>
    <w:multiLevelType w:val="hybridMultilevel"/>
    <w:tmpl w:val="A7E22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586322FE"/>
    <w:multiLevelType w:val="hybridMultilevel"/>
    <w:tmpl w:val="163678A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C487A12"/>
    <w:multiLevelType w:val="hybridMultilevel"/>
    <w:tmpl w:val="19BCB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C7719D5"/>
    <w:multiLevelType w:val="hybridMultilevel"/>
    <w:tmpl w:val="97E6C9E8"/>
    <w:lvl w:ilvl="0" w:tplc="58C024B2">
      <w:start w:val="1"/>
      <w:numFmt w:val="upperLetter"/>
      <w:lvlText w:val="%1."/>
      <w:lvlJc w:val="left"/>
      <w:pPr>
        <w:ind w:left="1231" w:hanging="360"/>
      </w:pPr>
      <w:rPr>
        <w:rFonts w:ascii="Cambria" w:eastAsia="Cambria" w:hAnsi="Cambria" w:cs="Cambria" w:hint="default"/>
        <w:b/>
        <w:bCs/>
        <w:spacing w:val="-11"/>
        <w:w w:val="100"/>
        <w:sz w:val="24"/>
        <w:szCs w:val="24"/>
      </w:rPr>
    </w:lvl>
    <w:lvl w:ilvl="1" w:tplc="065A179C">
      <w:start w:val="1"/>
      <w:numFmt w:val="decimal"/>
      <w:lvlText w:val="%2)"/>
      <w:lvlJc w:val="left"/>
      <w:pPr>
        <w:ind w:left="1591" w:hanging="360"/>
      </w:pPr>
      <w:rPr>
        <w:rFonts w:ascii="Cambria" w:eastAsia="Cambria" w:hAnsi="Cambria" w:cs="Cambria" w:hint="default"/>
        <w:spacing w:val="-23"/>
        <w:w w:val="100"/>
        <w:sz w:val="24"/>
        <w:szCs w:val="24"/>
      </w:rPr>
    </w:lvl>
    <w:lvl w:ilvl="2" w:tplc="199A72E4">
      <w:numFmt w:val="bullet"/>
      <w:lvlText w:val="•"/>
      <w:lvlJc w:val="left"/>
      <w:pPr>
        <w:ind w:left="2517" w:hanging="360"/>
      </w:pPr>
      <w:rPr>
        <w:rFonts w:hint="default"/>
      </w:rPr>
    </w:lvl>
    <w:lvl w:ilvl="3" w:tplc="34F61190">
      <w:numFmt w:val="bullet"/>
      <w:lvlText w:val="•"/>
      <w:lvlJc w:val="left"/>
      <w:pPr>
        <w:ind w:left="3435" w:hanging="360"/>
      </w:pPr>
      <w:rPr>
        <w:rFonts w:hint="default"/>
      </w:rPr>
    </w:lvl>
    <w:lvl w:ilvl="4" w:tplc="1F5A0A22">
      <w:numFmt w:val="bullet"/>
      <w:lvlText w:val="•"/>
      <w:lvlJc w:val="left"/>
      <w:pPr>
        <w:ind w:left="4353" w:hanging="360"/>
      </w:pPr>
      <w:rPr>
        <w:rFonts w:hint="default"/>
      </w:rPr>
    </w:lvl>
    <w:lvl w:ilvl="5" w:tplc="0CA2F2E2">
      <w:numFmt w:val="bullet"/>
      <w:lvlText w:val="•"/>
      <w:lvlJc w:val="left"/>
      <w:pPr>
        <w:ind w:left="5271" w:hanging="360"/>
      </w:pPr>
      <w:rPr>
        <w:rFonts w:hint="default"/>
      </w:rPr>
    </w:lvl>
    <w:lvl w:ilvl="6" w:tplc="7A0CAAA4">
      <w:numFmt w:val="bullet"/>
      <w:lvlText w:val="•"/>
      <w:lvlJc w:val="left"/>
      <w:pPr>
        <w:ind w:left="6188" w:hanging="360"/>
      </w:pPr>
      <w:rPr>
        <w:rFonts w:hint="default"/>
      </w:rPr>
    </w:lvl>
    <w:lvl w:ilvl="7" w:tplc="E77AE3A8">
      <w:numFmt w:val="bullet"/>
      <w:lvlText w:val="•"/>
      <w:lvlJc w:val="left"/>
      <w:pPr>
        <w:ind w:left="7106" w:hanging="360"/>
      </w:pPr>
      <w:rPr>
        <w:rFonts w:hint="default"/>
      </w:rPr>
    </w:lvl>
    <w:lvl w:ilvl="8" w:tplc="50822354">
      <w:numFmt w:val="bullet"/>
      <w:lvlText w:val="•"/>
      <w:lvlJc w:val="left"/>
      <w:pPr>
        <w:ind w:left="8024" w:hanging="360"/>
      </w:pPr>
      <w:rPr>
        <w:rFonts w:hint="default"/>
      </w:rPr>
    </w:lvl>
  </w:abstractNum>
  <w:abstractNum w:abstractNumId="13" w15:restartNumberingAfterBreak="0">
    <w:nsid w:val="5C9053BF"/>
    <w:multiLevelType w:val="hybridMultilevel"/>
    <w:tmpl w:val="71D2FFB4"/>
    <w:lvl w:ilvl="0" w:tplc="BF887C1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641669E8"/>
    <w:multiLevelType w:val="hybridMultilevel"/>
    <w:tmpl w:val="6242F62E"/>
    <w:lvl w:ilvl="0" w:tplc="3FB2E2A4">
      <w:start w:val="1"/>
      <w:numFmt w:val="lowerRoman"/>
      <w:lvlText w:val="(%1)"/>
      <w:lvlJc w:val="left"/>
      <w:pPr>
        <w:ind w:left="1485" w:hanging="720"/>
      </w:pPr>
      <w:rPr>
        <w:rFonts w:hint="default"/>
      </w:rPr>
    </w:lvl>
    <w:lvl w:ilvl="1" w:tplc="04090019">
      <w:start w:val="1"/>
      <w:numFmt w:val="lowerLetter"/>
      <w:lvlText w:val="%2."/>
      <w:lvlJc w:val="left"/>
      <w:pPr>
        <w:ind w:left="1845" w:hanging="360"/>
      </w:pPr>
    </w:lvl>
    <w:lvl w:ilvl="2" w:tplc="0409001B" w:tentative="1">
      <w:start w:val="1"/>
      <w:numFmt w:val="lowerRoman"/>
      <w:lvlText w:val="%3."/>
      <w:lvlJc w:val="right"/>
      <w:pPr>
        <w:ind w:left="2565" w:hanging="180"/>
      </w:pPr>
    </w:lvl>
    <w:lvl w:ilvl="3" w:tplc="0409000F" w:tentative="1">
      <w:start w:val="1"/>
      <w:numFmt w:val="decimal"/>
      <w:lvlText w:val="%4."/>
      <w:lvlJc w:val="left"/>
      <w:pPr>
        <w:ind w:left="3285" w:hanging="360"/>
      </w:pPr>
    </w:lvl>
    <w:lvl w:ilvl="4" w:tplc="04090019" w:tentative="1">
      <w:start w:val="1"/>
      <w:numFmt w:val="lowerLetter"/>
      <w:lvlText w:val="%5."/>
      <w:lvlJc w:val="left"/>
      <w:pPr>
        <w:ind w:left="4005" w:hanging="360"/>
      </w:pPr>
    </w:lvl>
    <w:lvl w:ilvl="5" w:tplc="0409001B" w:tentative="1">
      <w:start w:val="1"/>
      <w:numFmt w:val="lowerRoman"/>
      <w:lvlText w:val="%6."/>
      <w:lvlJc w:val="right"/>
      <w:pPr>
        <w:ind w:left="4725" w:hanging="180"/>
      </w:pPr>
    </w:lvl>
    <w:lvl w:ilvl="6" w:tplc="0409000F" w:tentative="1">
      <w:start w:val="1"/>
      <w:numFmt w:val="decimal"/>
      <w:lvlText w:val="%7."/>
      <w:lvlJc w:val="left"/>
      <w:pPr>
        <w:ind w:left="5445" w:hanging="360"/>
      </w:pPr>
    </w:lvl>
    <w:lvl w:ilvl="7" w:tplc="04090019" w:tentative="1">
      <w:start w:val="1"/>
      <w:numFmt w:val="lowerLetter"/>
      <w:lvlText w:val="%8."/>
      <w:lvlJc w:val="left"/>
      <w:pPr>
        <w:ind w:left="6165" w:hanging="360"/>
      </w:pPr>
    </w:lvl>
    <w:lvl w:ilvl="8" w:tplc="0409001B" w:tentative="1">
      <w:start w:val="1"/>
      <w:numFmt w:val="lowerRoman"/>
      <w:lvlText w:val="%9."/>
      <w:lvlJc w:val="right"/>
      <w:pPr>
        <w:ind w:left="6885" w:hanging="180"/>
      </w:pPr>
    </w:lvl>
  </w:abstractNum>
  <w:abstractNum w:abstractNumId="15" w15:restartNumberingAfterBreak="0">
    <w:nsid w:val="6B833E6B"/>
    <w:multiLevelType w:val="hybridMultilevel"/>
    <w:tmpl w:val="7EF4C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C4447DB"/>
    <w:multiLevelType w:val="hybridMultilevel"/>
    <w:tmpl w:val="E2A8FE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19D7050"/>
    <w:multiLevelType w:val="hybridMultilevel"/>
    <w:tmpl w:val="EB026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9101EB1"/>
    <w:multiLevelType w:val="hybridMultilevel"/>
    <w:tmpl w:val="2B6AE6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4"/>
  </w:num>
  <w:num w:numId="2">
    <w:abstractNumId w:val="13"/>
  </w:num>
  <w:num w:numId="3">
    <w:abstractNumId w:val="4"/>
  </w:num>
  <w:num w:numId="4">
    <w:abstractNumId w:val="18"/>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2"/>
  </w:num>
  <w:num w:numId="8">
    <w:abstractNumId w:val="12"/>
  </w:num>
  <w:num w:numId="9">
    <w:abstractNumId w:val="8"/>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num>
  <w:num w:numId="13">
    <w:abstractNumId w:val="16"/>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 w:numId="16">
    <w:abstractNumId w:val="17"/>
  </w:num>
  <w:num w:numId="17">
    <w:abstractNumId w:val="11"/>
  </w:num>
  <w:num w:numId="18">
    <w:abstractNumId w:val="15"/>
  </w:num>
  <w:num w:numId="19">
    <w:abstractNumId w:val="0"/>
  </w:num>
  <w:num w:numId="20">
    <w:abstractNumId w:val="5"/>
  </w:num>
  <w:num w:numId="21">
    <w:abstractNumId w:val="7"/>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7Q0M7c0NDEzszQwMLNU0lEKTi0uzszPAykwNKwFACY4+k0tAAAA"/>
  </w:docVars>
  <w:rsids>
    <w:rsidRoot w:val="00D57066"/>
    <w:rsid w:val="00000386"/>
    <w:rsid w:val="00005126"/>
    <w:rsid w:val="00005FE7"/>
    <w:rsid w:val="0001545B"/>
    <w:rsid w:val="0001586B"/>
    <w:rsid w:val="000275F9"/>
    <w:rsid w:val="0003117C"/>
    <w:rsid w:val="00037466"/>
    <w:rsid w:val="00040616"/>
    <w:rsid w:val="000476A9"/>
    <w:rsid w:val="0005379E"/>
    <w:rsid w:val="00062A50"/>
    <w:rsid w:val="000638C7"/>
    <w:rsid w:val="00064922"/>
    <w:rsid w:val="000669A1"/>
    <w:rsid w:val="0007012F"/>
    <w:rsid w:val="00070F94"/>
    <w:rsid w:val="000800E1"/>
    <w:rsid w:val="000803EE"/>
    <w:rsid w:val="000863B7"/>
    <w:rsid w:val="00095777"/>
    <w:rsid w:val="000A728C"/>
    <w:rsid w:val="000B0600"/>
    <w:rsid w:val="000B1941"/>
    <w:rsid w:val="000B505A"/>
    <w:rsid w:val="000B53A2"/>
    <w:rsid w:val="000B5CBC"/>
    <w:rsid w:val="000C0BD4"/>
    <w:rsid w:val="000C0C92"/>
    <w:rsid w:val="000C541A"/>
    <w:rsid w:val="000C59FA"/>
    <w:rsid w:val="000C7A39"/>
    <w:rsid w:val="000D0B3C"/>
    <w:rsid w:val="000D1003"/>
    <w:rsid w:val="000D18F6"/>
    <w:rsid w:val="000D2E13"/>
    <w:rsid w:val="000D3E8C"/>
    <w:rsid w:val="000E0467"/>
    <w:rsid w:val="000E108F"/>
    <w:rsid w:val="000E1885"/>
    <w:rsid w:val="000E3CF5"/>
    <w:rsid w:val="000E51AB"/>
    <w:rsid w:val="000E7F4D"/>
    <w:rsid w:val="000F09B4"/>
    <w:rsid w:val="000F4536"/>
    <w:rsid w:val="000F4CCE"/>
    <w:rsid w:val="000F6C0E"/>
    <w:rsid w:val="00102953"/>
    <w:rsid w:val="00102AE0"/>
    <w:rsid w:val="00104370"/>
    <w:rsid w:val="0011176B"/>
    <w:rsid w:val="00112D07"/>
    <w:rsid w:val="001130AF"/>
    <w:rsid w:val="0011463F"/>
    <w:rsid w:val="001169CB"/>
    <w:rsid w:val="0012185E"/>
    <w:rsid w:val="001238D8"/>
    <w:rsid w:val="0012634E"/>
    <w:rsid w:val="001341F3"/>
    <w:rsid w:val="00135E46"/>
    <w:rsid w:val="00144046"/>
    <w:rsid w:val="00144B2B"/>
    <w:rsid w:val="00146003"/>
    <w:rsid w:val="00151C87"/>
    <w:rsid w:val="00157268"/>
    <w:rsid w:val="00161E53"/>
    <w:rsid w:val="00166988"/>
    <w:rsid w:val="001679F2"/>
    <w:rsid w:val="001718E1"/>
    <w:rsid w:val="00175BCA"/>
    <w:rsid w:val="0019085F"/>
    <w:rsid w:val="00191492"/>
    <w:rsid w:val="00191B31"/>
    <w:rsid w:val="00191BD8"/>
    <w:rsid w:val="00192772"/>
    <w:rsid w:val="00196E91"/>
    <w:rsid w:val="0019731D"/>
    <w:rsid w:val="001A0BC6"/>
    <w:rsid w:val="001A52C2"/>
    <w:rsid w:val="001B0756"/>
    <w:rsid w:val="001B1252"/>
    <w:rsid w:val="001B3C09"/>
    <w:rsid w:val="001B41DC"/>
    <w:rsid w:val="001C18BF"/>
    <w:rsid w:val="001C2729"/>
    <w:rsid w:val="001C3543"/>
    <w:rsid w:val="001C35DE"/>
    <w:rsid w:val="001C3A16"/>
    <w:rsid w:val="001D0D0E"/>
    <w:rsid w:val="001D127E"/>
    <w:rsid w:val="001D213A"/>
    <w:rsid w:val="001D30FD"/>
    <w:rsid w:val="001D77A5"/>
    <w:rsid w:val="001E0351"/>
    <w:rsid w:val="001E0546"/>
    <w:rsid w:val="001E10DB"/>
    <w:rsid w:val="001E165B"/>
    <w:rsid w:val="001E2616"/>
    <w:rsid w:val="001F1C38"/>
    <w:rsid w:val="00204E11"/>
    <w:rsid w:val="00210D3B"/>
    <w:rsid w:val="002151EA"/>
    <w:rsid w:val="00215E70"/>
    <w:rsid w:val="00220174"/>
    <w:rsid w:val="002225D6"/>
    <w:rsid w:val="00222E65"/>
    <w:rsid w:val="002250D1"/>
    <w:rsid w:val="00226594"/>
    <w:rsid w:val="0022740D"/>
    <w:rsid w:val="00231927"/>
    <w:rsid w:val="00241BA6"/>
    <w:rsid w:val="00261137"/>
    <w:rsid w:val="002617CC"/>
    <w:rsid w:val="00262A07"/>
    <w:rsid w:val="00263A29"/>
    <w:rsid w:val="0028506A"/>
    <w:rsid w:val="0028737E"/>
    <w:rsid w:val="00290CF2"/>
    <w:rsid w:val="002918EA"/>
    <w:rsid w:val="002951FB"/>
    <w:rsid w:val="002A4E3C"/>
    <w:rsid w:val="002A6D19"/>
    <w:rsid w:val="002B0A94"/>
    <w:rsid w:val="002B0F02"/>
    <w:rsid w:val="002B31DB"/>
    <w:rsid w:val="002B5C53"/>
    <w:rsid w:val="002B5D38"/>
    <w:rsid w:val="002C1C16"/>
    <w:rsid w:val="002C3875"/>
    <w:rsid w:val="002C70C6"/>
    <w:rsid w:val="002D06DB"/>
    <w:rsid w:val="002D18CB"/>
    <w:rsid w:val="002D2427"/>
    <w:rsid w:val="002D7709"/>
    <w:rsid w:val="002E058D"/>
    <w:rsid w:val="002E18ED"/>
    <w:rsid w:val="002E550C"/>
    <w:rsid w:val="002E757F"/>
    <w:rsid w:val="002F03AC"/>
    <w:rsid w:val="0030012C"/>
    <w:rsid w:val="00302840"/>
    <w:rsid w:val="00305FEE"/>
    <w:rsid w:val="003070EA"/>
    <w:rsid w:val="003125B4"/>
    <w:rsid w:val="00313953"/>
    <w:rsid w:val="00313C4B"/>
    <w:rsid w:val="00320209"/>
    <w:rsid w:val="00325B84"/>
    <w:rsid w:val="0032602B"/>
    <w:rsid w:val="00327F1C"/>
    <w:rsid w:val="003309C8"/>
    <w:rsid w:val="00343362"/>
    <w:rsid w:val="003469FD"/>
    <w:rsid w:val="00352A75"/>
    <w:rsid w:val="003550D5"/>
    <w:rsid w:val="00356A52"/>
    <w:rsid w:val="00361AC2"/>
    <w:rsid w:val="0036379F"/>
    <w:rsid w:val="00363CCA"/>
    <w:rsid w:val="00363D3F"/>
    <w:rsid w:val="00363DAC"/>
    <w:rsid w:val="00364ECE"/>
    <w:rsid w:val="0036521F"/>
    <w:rsid w:val="00365281"/>
    <w:rsid w:val="00367712"/>
    <w:rsid w:val="00367A7E"/>
    <w:rsid w:val="00371878"/>
    <w:rsid w:val="00373B7D"/>
    <w:rsid w:val="003762B7"/>
    <w:rsid w:val="00383C94"/>
    <w:rsid w:val="00385770"/>
    <w:rsid w:val="00385C18"/>
    <w:rsid w:val="00387838"/>
    <w:rsid w:val="003908E7"/>
    <w:rsid w:val="00390B60"/>
    <w:rsid w:val="003954D5"/>
    <w:rsid w:val="003A351B"/>
    <w:rsid w:val="003A54F9"/>
    <w:rsid w:val="003B1F66"/>
    <w:rsid w:val="003B4E0B"/>
    <w:rsid w:val="003B7EB2"/>
    <w:rsid w:val="003C3F68"/>
    <w:rsid w:val="003D1C3E"/>
    <w:rsid w:val="003E3BFB"/>
    <w:rsid w:val="003E425B"/>
    <w:rsid w:val="003E74E6"/>
    <w:rsid w:val="003E7A13"/>
    <w:rsid w:val="003F3E58"/>
    <w:rsid w:val="003F6793"/>
    <w:rsid w:val="003F6CCD"/>
    <w:rsid w:val="003F7660"/>
    <w:rsid w:val="00403D52"/>
    <w:rsid w:val="00404C67"/>
    <w:rsid w:val="0040549A"/>
    <w:rsid w:val="0040591F"/>
    <w:rsid w:val="00405C7B"/>
    <w:rsid w:val="00411CC2"/>
    <w:rsid w:val="00414DF9"/>
    <w:rsid w:val="00420FBE"/>
    <w:rsid w:val="00423591"/>
    <w:rsid w:val="00424AFF"/>
    <w:rsid w:val="00427AE6"/>
    <w:rsid w:val="00427E9B"/>
    <w:rsid w:val="004313D4"/>
    <w:rsid w:val="00435FF8"/>
    <w:rsid w:val="004411AF"/>
    <w:rsid w:val="004420A3"/>
    <w:rsid w:val="0044377B"/>
    <w:rsid w:val="004468FD"/>
    <w:rsid w:val="00450A16"/>
    <w:rsid w:val="00450C26"/>
    <w:rsid w:val="00453826"/>
    <w:rsid w:val="00454518"/>
    <w:rsid w:val="004549F5"/>
    <w:rsid w:val="00455870"/>
    <w:rsid w:val="0045750A"/>
    <w:rsid w:val="00460B14"/>
    <w:rsid w:val="00462677"/>
    <w:rsid w:val="00465318"/>
    <w:rsid w:val="00465736"/>
    <w:rsid w:val="0047075F"/>
    <w:rsid w:val="004813F5"/>
    <w:rsid w:val="0049318D"/>
    <w:rsid w:val="00494920"/>
    <w:rsid w:val="00496E3B"/>
    <w:rsid w:val="00497625"/>
    <w:rsid w:val="004A343A"/>
    <w:rsid w:val="004A37C7"/>
    <w:rsid w:val="004A3C84"/>
    <w:rsid w:val="004B30FB"/>
    <w:rsid w:val="004B4269"/>
    <w:rsid w:val="004B63ED"/>
    <w:rsid w:val="004C02DC"/>
    <w:rsid w:val="004C221F"/>
    <w:rsid w:val="004C44A6"/>
    <w:rsid w:val="004D1F36"/>
    <w:rsid w:val="004D46F4"/>
    <w:rsid w:val="004D6AD8"/>
    <w:rsid w:val="004D7AB7"/>
    <w:rsid w:val="004E164A"/>
    <w:rsid w:val="004E24CC"/>
    <w:rsid w:val="004E4EDD"/>
    <w:rsid w:val="004E5AE3"/>
    <w:rsid w:val="004F1F57"/>
    <w:rsid w:val="004F4BFA"/>
    <w:rsid w:val="00500BC5"/>
    <w:rsid w:val="005020E4"/>
    <w:rsid w:val="0050532D"/>
    <w:rsid w:val="00513F3F"/>
    <w:rsid w:val="0052158A"/>
    <w:rsid w:val="0052256D"/>
    <w:rsid w:val="00523D54"/>
    <w:rsid w:val="00524946"/>
    <w:rsid w:val="00530B78"/>
    <w:rsid w:val="00544020"/>
    <w:rsid w:val="0054406B"/>
    <w:rsid w:val="00546755"/>
    <w:rsid w:val="00551784"/>
    <w:rsid w:val="00553C6B"/>
    <w:rsid w:val="005662C9"/>
    <w:rsid w:val="005679EC"/>
    <w:rsid w:val="005831D8"/>
    <w:rsid w:val="00585510"/>
    <w:rsid w:val="0059317D"/>
    <w:rsid w:val="00593891"/>
    <w:rsid w:val="00596EB1"/>
    <w:rsid w:val="005A2915"/>
    <w:rsid w:val="005A2F4A"/>
    <w:rsid w:val="005A4E0C"/>
    <w:rsid w:val="005A52C8"/>
    <w:rsid w:val="005B1611"/>
    <w:rsid w:val="005C0DCF"/>
    <w:rsid w:val="005C17F4"/>
    <w:rsid w:val="005C2734"/>
    <w:rsid w:val="005C298B"/>
    <w:rsid w:val="005C3AA5"/>
    <w:rsid w:val="005C4805"/>
    <w:rsid w:val="005D38A3"/>
    <w:rsid w:val="005D6326"/>
    <w:rsid w:val="005E29E1"/>
    <w:rsid w:val="005E3CEB"/>
    <w:rsid w:val="005E5789"/>
    <w:rsid w:val="005E60D6"/>
    <w:rsid w:val="005E6FAA"/>
    <w:rsid w:val="005F2E18"/>
    <w:rsid w:val="005F638B"/>
    <w:rsid w:val="005F6A08"/>
    <w:rsid w:val="00601F02"/>
    <w:rsid w:val="006023B9"/>
    <w:rsid w:val="006036EF"/>
    <w:rsid w:val="00604017"/>
    <w:rsid w:val="00605317"/>
    <w:rsid w:val="006053CA"/>
    <w:rsid w:val="00606141"/>
    <w:rsid w:val="00607040"/>
    <w:rsid w:val="006241FC"/>
    <w:rsid w:val="006304A2"/>
    <w:rsid w:val="0063242C"/>
    <w:rsid w:val="006344CB"/>
    <w:rsid w:val="0063486B"/>
    <w:rsid w:val="00636775"/>
    <w:rsid w:val="0063712F"/>
    <w:rsid w:val="006373A2"/>
    <w:rsid w:val="0064206C"/>
    <w:rsid w:val="0064472C"/>
    <w:rsid w:val="00645D65"/>
    <w:rsid w:val="006508D5"/>
    <w:rsid w:val="006533EA"/>
    <w:rsid w:val="006541C8"/>
    <w:rsid w:val="0065564F"/>
    <w:rsid w:val="00656A15"/>
    <w:rsid w:val="00660AF2"/>
    <w:rsid w:val="00666212"/>
    <w:rsid w:val="00667D28"/>
    <w:rsid w:val="00670D55"/>
    <w:rsid w:val="00672732"/>
    <w:rsid w:val="00675B04"/>
    <w:rsid w:val="00676C17"/>
    <w:rsid w:val="00677F1E"/>
    <w:rsid w:val="00684677"/>
    <w:rsid w:val="00684CE8"/>
    <w:rsid w:val="006852D4"/>
    <w:rsid w:val="00687D11"/>
    <w:rsid w:val="00696F04"/>
    <w:rsid w:val="00697457"/>
    <w:rsid w:val="00697B93"/>
    <w:rsid w:val="006B118F"/>
    <w:rsid w:val="006B1489"/>
    <w:rsid w:val="006B16D4"/>
    <w:rsid w:val="006B3340"/>
    <w:rsid w:val="006C0BD9"/>
    <w:rsid w:val="006C3CB8"/>
    <w:rsid w:val="006C3DCF"/>
    <w:rsid w:val="006C42D1"/>
    <w:rsid w:val="006D5A13"/>
    <w:rsid w:val="006D6E15"/>
    <w:rsid w:val="006E1846"/>
    <w:rsid w:val="006E28E8"/>
    <w:rsid w:val="006E3736"/>
    <w:rsid w:val="006E44B9"/>
    <w:rsid w:val="006E65B3"/>
    <w:rsid w:val="006F0072"/>
    <w:rsid w:val="006F2AAB"/>
    <w:rsid w:val="006F55D7"/>
    <w:rsid w:val="0070394A"/>
    <w:rsid w:val="0070498D"/>
    <w:rsid w:val="00705D28"/>
    <w:rsid w:val="00714830"/>
    <w:rsid w:val="00716298"/>
    <w:rsid w:val="0071639F"/>
    <w:rsid w:val="00721989"/>
    <w:rsid w:val="00723F27"/>
    <w:rsid w:val="00724DC5"/>
    <w:rsid w:val="00726A65"/>
    <w:rsid w:val="00735A45"/>
    <w:rsid w:val="007377F2"/>
    <w:rsid w:val="00741056"/>
    <w:rsid w:val="0074125B"/>
    <w:rsid w:val="00743521"/>
    <w:rsid w:val="00746F8C"/>
    <w:rsid w:val="0075257F"/>
    <w:rsid w:val="00753032"/>
    <w:rsid w:val="007536FD"/>
    <w:rsid w:val="007578F8"/>
    <w:rsid w:val="0076401B"/>
    <w:rsid w:val="00764AF7"/>
    <w:rsid w:val="00765468"/>
    <w:rsid w:val="00765EC0"/>
    <w:rsid w:val="00780571"/>
    <w:rsid w:val="007832CE"/>
    <w:rsid w:val="00795900"/>
    <w:rsid w:val="007A1CF1"/>
    <w:rsid w:val="007A38AA"/>
    <w:rsid w:val="007A5FF5"/>
    <w:rsid w:val="007B2449"/>
    <w:rsid w:val="007C0F43"/>
    <w:rsid w:val="007C105F"/>
    <w:rsid w:val="007C5E08"/>
    <w:rsid w:val="007D04D1"/>
    <w:rsid w:val="007D19F2"/>
    <w:rsid w:val="007D20D9"/>
    <w:rsid w:val="007D525B"/>
    <w:rsid w:val="007D7894"/>
    <w:rsid w:val="007E34E5"/>
    <w:rsid w:val="007E766B"/>
    <w:rsid w:val="007F3F15"/>
    <w:rsid w:val="007F7CCD"/>
    <w:rsid w:val="0080128D"/>
    <w:rsid w:val="00801C88"/>
    <w:rsid w:val="0080736A"/>
    <w:rsid w:val="0080751E"/>
    <w:rsid w:val="00812A58"/>
    <w:rsid w:val="0081551C"/>
    <w:rsid w:val="00816D3B"/>
    <w:rsid w:val="008170B0"/>
    <w:rsid w:val="00825925"/>
    <w:rsid w:val="00825940"/>
    <w:rsid w:val="0083003D"/>
    <w:rsid w:val="008303E7"/>
    <w:rsid w:val="0083415D"/>
    <w:rsid w:val="00841483"/>
    <w:rsid w:val="00842959"/>
    <w:rsid w:val="00845250"/>
    <w:rsid w:val="008453BF"/>
    <w:rsid w:val="00847A0D"/>
    <w:rsid w:val="00851580"/>
    <w:rsid w:val="00861D77"/>
    <w:rsid w:val="008719BE"/>
    <w:rsid w:val="00872238"/>
    <w:rsid w:val="00880DB5"/>
    <w:rsid w:val="00886075"/>
    <w:rsid w:val="00887010"/>
    <w:rsid w:val="008874DF"/>
    <w:rsid w:val="008878E3"/>
    <w:rsid w:val="00897B7C"/>
    <w:rsid w:val="008A3092"/>
    <w:rsid w:val="008A4616"/>
    <w:rsid w:val="008B1619"/>
    <w:rsid w:val="008B28C5"/>
    <w:rsid w:val="008B39E7"/>
    <w:rsid w:val="008B4744"/>
    <w:rsid w:val="008B6802"/>
    <w:rsid w:val="008B7E04"/>
    <w:rsid w:val="008C0A70"/>
    <w:rsid w:val="008C3AE0"/>
    <w:rsid w:val="008C4864"/>
    <w:rsid w:val="008D1252"/>
    <w:rsid w:val="008D21AC"/>
    <w:rsid w:val="008D3B01"/>
    <w:rsid w:val="008E15C1"/>
    <w:rsid w:val="008E3410"/>
    <w:rsid w:val="008E46F3"/>
    <w:rsid w:val="008E4D3D"/>
    <w:rsid w:val="008F0E20"/>
    <w:rsid w:val="008F3E8F"/>
    <w:rsid w:val="008F6300"/>
    <w:rsid w:val="008F7D6E"/>
    <w:rsid w:val="00901364"/>
    <w:rsid w:val="00904F27"/>
    <w:rsid w:val="0090776D"/>
    <w:rsid w:val="00911BAB"/>
    <w:rsid w:val="009148BB"/>
    <w:rsid w:val="009149B1"/>
    <w:rsid w:val="009221A3"/>
    <w:rsid w:val="009249F5"/>
    <w:rsid w:val="00925D34"/>
    <w:rsid w:val="009324AE"/>
    <w:rsid w:val="00936DE9"/>
    <w:rsid w:val="00942464"/>
    <w:rsid w:val="00942EA8"/>
    <w:rsid w:val="00947389"/>
    <w:rsid w:val="00950C16"/>
    <w:rsid w:val="00952DFD"/>
    <w:rsid w:val="00954C6F"/>
    <w:rsid w:val="009579BF"/>
    <w:rsid w:val="00960C6D"/>
    <w:rsid w:val="00964040"/>
    <w:rsid w:val="0096665B"/>
    <w:rsid w:val="009676A9"/>
    <w:rsid w:val="00972595"/>
    <w:rsid w:val="00981C35"/>
    <w:rsid w:val="00982498"/>
    <w:rsid w:val="00987EF3"/>
    <w:rsid w:val="00990C90"/>
    <w:rsid w:val="0099671C"/>
    <w:rsid w:val="009A0B73"/>
    <w:rsid w:val="009A16CD"/>
    <w:rsid w:val="009A38F9"/>
    <w:rsid w:val="009A51F6"/>
    <w:rsid w:val="009A6FFC"/>
    <w:rsid w:val="009B153A"/>
    <w:rsid w:val="009B3C7C"/>
    <w:rsid w:val="009B59AD"/>
    <w:rsid w:val="009C0E3D"/>
    <w:rsid w:val="009C181F"/>
    <w:rsid w:val="009C2C27"/>
    <w:rsid w:val="009C632A"/>
    <w:rsid w:val="009E5D6B"/>
    <w:rsid w:val="009F74D1"/>
    <w:rsid w:val="00A01BB0"/>
    <w:rsid w:val="00A01CB5"/>
    <w:rsid w:val="00A03C7B"/>
    <w:rsid w:val="00A05EE7"/>
    <w:rsid w:val="00A06F35"/>
    <w:rsid w:val="00A07B3D"/>
    <w:rsid w:val="00A07DC0"/>
    <w:rsid w:val="00A11A7A"/>
    <w:rsid w:val="00A126DA"/>
    <w:rsid w:val="00A16B93"/>
    <w:rsid w:val="00A26573"/>
    <w:rsid w:val="00A30688"/>
    <w:rsid w:val="00A30CE2"/>
    <w:rsid w:val="00A31EDF"/>
    <w:rsid w:val="00A33928"/>
    <w:rsid w:val="00A377E2"/>
    <w:rsid w:val="00A40AA9"/>
    <w:rsid w:val="00A41169"/>
    <w:rsid w:val="00A43178"/>
    <w:rsid w:val="00A43F3A"/>
    <w:rsid w:val="00A463AC"/>
    <w:rsid w:val="00A46E93"/>
    <w:rsid w:val="00A527BA"/>
    <w:rsid w:val="00A56B29"/>
    <w:rsid w:val="00A676C1"/>
    <w:rsid w:val="00A7240F"/>
    <w:rsid w:val="00A73E2C"/>
    <w:rsid w:val="00A73ED7"/>
    <w:rsid w:val="00A751F5"/>
    <w:rsid w:val="00A75C28"/>
    <w:rsid w:val="00A81BFC"/>
    <w:rsid w:val="00A85E8A"/>
    <w:rsid w:val="00A87CFA"/>
    <w:rsid w:val="00A91C91"/>
    <w:rsid w:val="00A95AD0"/>
    <w:rsid w:val="00A962B7"/>
    <w:rsid w:val="00AA1E01"/>
    <w:rsid w:val="00AA22ED"/>
    <w:rsid w:val="00AA3F93"/>
    <w:rsid w:val="00AA4895"/>
    <w:rsid w:val="00AB2A7B"/>
    <w:rsid w:val="00AB2FE9"/>
    <w:rsid w:val="00AB3B66"/>
    <w:rsid w:val="00AB6785"/>
    <w:rsid w:val="00AC39A8"/>
    <w:rsid w:val="00AC671E"/>
    <w:rsid w:val="00AC732E"/>
    <w:rsid w:val="00AC73B0"/>
    <w:rsid w:val="00AC7D7C"/>
    <w:rsid w:val="00AD0495"/>
    <w:rsid w:val="00AD1136"/>
    <w:rsid w:val="00AD1A2E"/>
    <w:rsid w:val="00AD295C"/>
    <w:rsid w:val="00AD3AC6"/>
    <w:rsid w:val="00AD4279"/>
    <w:rsid w:val="00AE06C9"/>
    <w:rsid w:val="00AE5A4F"/>
    <w:rsid w:val="00AF7950"/>
    <w:rsid w:val="00B04029"/>
    <w:rsid w:val="00B076EA"/>
    <w:rsid w:val="00B078EC"/>
    <w:rsid w:val="00B15AEA"/>
    <w:rsid w:val="00B215D9"/>
    <w:rsid w:val="00B323DC"/>
    <w:rsid w:val="00B3743C"/>
    <w:rsid w:val="00B417EC"/>
    <w:rsid w:val="00B418ED"/>
    <w:rsid w:val="00B42202"/>
    <w:rsid w:val="00B42EE1"/>
    <w:rsid w:val="00B52B03"/>
    <w:rsid w:val="00B63A64"/>
    <w:rsid w:val="00B63A6C"/>
    <w:rsid w:val="00B64B3C"/>
    <w:rsid w:val="00B6698D"/>
    <w:rsid w:val="00B74B73"/>
    <w:rsid w:val="00B813A3"/>
    <w:rsid w:val="00B82983"/>
    <w:rsid w:val="00B84935"/>
    <w:rsid w:val="00B84E3E"/>
    <w:rsid w:val="00B8595E"/>
    <w:rsid w:val="00B868B9"/>
    <w:rsid w:val="00B90904"/>
    <w:rsid w:val="00B92662"/>
    <w:rsid w:val="00B93537"/>
    <w:rsid w:val="00B9730C"/>
    <w:rsid w:val="00B97AA5"/>
    <w:rsid w:val="00BA31E8"/>
    <w:rsid w:val="00BA58E5"/>
    <w:rsid w:val="00BB1698"/>
    <w:rsid w:val="00BB2971"/>
    <w:rsid w:val="00BB3A6F"/>
    <w:rsid w:val="00BB7B87"/>
    <w:rsid w:val="00BC1195"/>
    <w:rsid w:val="00BC68AF"/>
    <w:rsid w:val="00BD57CB"/>
    <w:rsid w:val="00BD7847"/>
    <w:rsid w:val="00BE2464"/>
    <w:rsid w:val="00BE4DCE"/>
    <w:rsid w:val="00BE581F"/>
    <w:rsid w:val="00BE61EA"/>
    <w:rsid w:val="00BF7069"/>
    <w:rsid w:val="00C0533D"/>
    <w:rsid w:val="00C0550E"/>
    <w:rsid w:val="00C05F7B"/>
    <w:rsid w:val="00C1390A"/>
    <w:rsid w:val="00C168E5"/>
    <w:rsid w:val="00C22960"/>
    <w:rsid w:val="00C23309"/>
    <w:rsid w:val="00C23EA5"/>
    <w:rsid w:val="00C35708"/>
    <w:rsid w:val="00C41A77"/>
    <w:rsid w:val="00C41CB6"/>
    <w:rsid w:val="00C46E7E"/>
    <w:rsid w:val="00C50F9E"/>
    <w:rsid w:val="00C5409C"/>
    <w:rsid w:val="00C64417"/>
    <w:rsid w:val="00C66906"/>
    <w:rsid w:val="00C7403E"/>
    <w:rsid w:val="00C76354"/>
    <w:rsid w:val="00C76B41"/>
    <w:rsid w:val="00C8095F"/>
    <w:rsid w:val="00C8154C"/>
    <w:rsid w:val="00C83AD8"/>
    <w:rsid w:val="00C848EB"/>
    <w:rsid w:val="00C84BDE"/>
    <w:rsid w:val="00C87D12"/>
    <w:rsid w:val="00C90977"/>
    <w:rsid w:val="00C912C5"/>
    <w:rsid w:val="00C91F6E"/>
    <w:rsid w:val="00CA1D35"/>
    <w:rsid w:val="00CA3DEF"/>
    <w:rsid w:val="00CA7EDF"/>
    <w:rsid w:val="00CB58E9"/>
    <w:rsid w:val="00CC01E9"/>
    <w:rsid w:val="00CD4AE5"/>
    <w:rsid w:val="00CD4D93"/>
    <w:rsid w:val="00CE06FC"/>
    <w:rsid w:val="00CE2405"/>
    <w:rsid w:val="00CE2413"/>
    <w:rsid w:val="00CE2697"/>
    <w:rsid w:val="00CE27E3"/>
    <w:rsid w:val="00CE4A9E"/>
    <w:rsid w:val="00CE68FE"/>
    <w:rsid w:val="00CE7CB1"/>
    <w:rsid w:val="00CF3F53"/>
    <w:rsid w:val="00CF42A0"/>
    <w:rsid w:val="00D0093E"/>
    <w:rsid w:val="00D02E48"/>
    <w:rsid w:val="00D04470"/>
    <w:rsid w:val="00D04A0D"/>
    <w:rsid w:val="00D10F83"/>
    <w:rsid w:val="00D131B5"/>
    <w:rsid w:val="00D132FF"/>
    <w:rsid w:val="00D14645"/>
    <w:rsid w:val="00D15D1F"/>
    <w:rsid w:val="00D15DEB"/>
    <w:rsid w:val="00D160E5"/>
    <w:rsid w:val="00D164E4"/>
    <w:rsid w:val="00D25BA1"/>
    <w:rsid w:val="00D260F8"/>
    <w:rsid w:val="00D3006E"/>
    <w:rsid w:val="00D3119E"/>
    <w:rsid w:val="00D32605"/>
    <w:rsid w:val="00D37F3B"/>
    <w:rsid w:val="00D51E24"/>
    <w:rsid w:val="00D521DF"/>
    <w:rsid w:val="00D523CC"/>
    <w:rsid w:val="00D55D34"/>
    <w:rsid w:val="00D56B5A"/>
    <w:rsid w:val="00D57066"/>
    <w:rsid w:val="00D57288"/>
    <w:rsid w:val="00D63362"/>
    <w:rsid w:val="00D6395E"/>
    <w:rsid w:val="00D65BD0"/>
    <w:rsid w:val="00D661E3"/>
    <w:rsid w:val="00D701AD"/>
    <w:rsid w:val="00D70AD9"/>
    <w:rsid w:val="00D70FEB"/>
    <w:rsid w:val="00D7458D"/>
    <w:rsid w:val="00D770FC"/>
    <w:rsid w:val="00D861DF"/>
    <w:rsid w:val="00D86DC2"/>
    <w:rsid w:val="00D879FE"/>
    <w:rsid w:val="00D90E00"/>
    <w:rsid w:val="00D92C95"/>
    <w:rsid w:val="00D93236"/>
    <w:rsid w:val="00D97A1B"/>
    <w:rsid w:val="00D97FCD"/>
    <w:rsid w:val="00DA7123"/>
    <w:rsid w:val="00DC47E8"/>
    <w:rsid w:val="00DC50DD"/>
    <w:rsid w:val="00DD0302"/>
    <w:rsid w:val="00DD26D8"/>
    <w:rsid w:val="00DE3E87"/>
    <w:rsid w:val="00DE46F8"/>
    <w:rsid w:val="00DF3AB1"/>
    <w:rsid w:val="00DF402B"/>
    <w:rsid w:val="00DF6BBA"/>
    <w:rsid w:val="00E011EF"/>
    <w:rsid w:val="00E07877"/>
    <w:rsid w:val="00E07CB1"/>
    <w:rsid w:val="00E17CD1"/>
    <w:rsid w:val="00E25990"/>
    <w:rsid w:val="00E3044F"/>
    <w:rsid w:val="00E36245"/>
    <w:rsid w:val="00E42545"/>
    <w:rsid w:val="00E42996"/>
    <w:rsid w:val="00E43B2A"/>
    <w:rsid w:val="00E45BB9"/>
    <w:rsid w:val="00E476B6"/>
    <w:rsid w:val="00E50B8C"/>
    <w:rsid w:val="00E51D1B"/>
    <w:rsid w:val="00E52005"/>
    <w:rsid w:val="00E561E6"/>
    <w:rsid w:val="00E577B5"/>
    <w:rsid w:val="00E621DD"/>
    <w:rsid w:val="00E62A53"/>
    <w:rsid w:val="00E75DE4"/>
    <w:rsid w:val="00E808A1"/>
    <w:rsid w:val="00E901D7"/>
    <w:rsid w:val="00EA00FC"/>
    <w:rsid w:val="00EA1B16"/>
    <w:rsid w:val="00EA30F4"/>
    <w:rsid w:val="00EA3C12"/>
    <w:rsid w:val="00EB038A"/>
    <w:rsid w:val="00EB227B"/>
    <w:rsid w:val="00EB2C7E"/>
    <w:rsid w:val="00EB4CFB"/>
    <w:rsid w:val="00EB743C"/>
    <w:rsid w:val="00EC10A5"/>
    <w:rsid w:val="00EC1981"/>
    <w:rsid w:val="00EC2F29"/>
    <w:rsid w:val="00EC645D"/>
    <w:rsid w:val="00ED4A8E"/>
    <w:rsid w:val="00ED56AD"/>
    <w:rsid w:val="00ED5BC9"/>
    <w:rsid w:val="00ED78A6"/>
    <w:rsid w:val="00EE1E28"/>
    <w:rsid w:val="00EF0EE3"/>
    <w:rsid w:val="00EF2542"/>
    <w:rsid w:val="00EF4B3F"/>
    <w:rsid w:val="00EF4FB7"/>
    <w:rsid w:val="00EF6CD0"/>
    <w:rsid w:val="00EF704C"/>
    <w:rsid w:val="00EF714D"/>
    <w:rsid w:val="00F05F20"/>
    <w:rsid w:val="00F13F19"/>
    <w:rsid w:val="00F164A0"/>
    <w:rsid w:val="00F17E50"/>
    <w:rsid w:val="00F22CA2"/>
    <w:rsid w:val="00F24A09"/>
    <w:rsid w:val="00F24DDC"/>
    <w:rsid w:val="00F34DA1"/>
    <w:rsid w:val="00F35A6F"/>
    <w:rsid w:val="00F36F87"/>
    <w:rsid w:val="00F41110"/>
    <w:rsid w:val="00F44543"/>
    <w:rsid w:val="00F4706B"/>
    <w:rsid w:val="00F52B22"/>
    <w:rsid w:val="00F52E84"/>
    <w:rsid w:val="00F537FD"/>
    <w:rsid w:val="00F54D9D"/>
    <w:rsid w:val="00F56BF0"/>
    <w:rsid w:val="00F62B9C"/>
    <w:rsid w:val="00F701FF"/>
    <w:rsid w:val="00F7371E"/>
    <w:rsid w:val="00F773D2"/>
    <w:rsid w:val="00F84FC8"/>
    <w:rsid w:val="00F861C4"/>
    <w:rsid w:val="00FA0EC2"/>
    <w:rsid w:val="00FA1F2C"/>
    <w:rsid w:val="00FA6BBE"/>
    <w:rsid w:val="00FA6E90"/>
    <w:rsid w:val="00FB1D6C"/>
    <w:rsid w:val="00FB60FE"/>
    <w:rsid w:val="00FB7B80"/>
    <w:rsid w:val="00FC0228"/>
    <w:rsid w:val="00FC04D8"/>
    <w:rsid w:val="00FC143E"/>
    <w:rsid w:val="00FC3EA3"/>
    <w:rsid w:val="00FC5047"/>
    <w:rsid w:val="00FC7A61"/>
    <w:rsid w:val="00FD0501"/>
    <w:rsid w:val="00FD1851"/>
    <w:rsid w:val="00FD1DA5"/>
    <w:rsid w:val="00FD4EA1"/>
    <w:rsid w:val="00FE09E3"/>
    <w:rsid w:val="00FE28FF"/>
    <w:rsid w:val="00FE6AE6"/>
    <w:rsid w:val="00FF3A04"/>
    <w:rsid w:val="00FF3B38"/>
    <w:rsid w:val="00FF5A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BABD58"/>
  <w15:docId w15:val="{678F055C-7C9C-4E94-9DBE-62DED37BBE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E4254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414DF9"/>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9B3C7C"/>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D57066"/>
    <w:pPr>
      <w:ind w:left="720"/>
      <w:contextualSpacing/>
    </w:pPr>
  </w:style>
  <w:style w:type="paragraph" w:customStyle="1" w:styleId="Default">
    <w:name w:val="Default"/>
    <w:rsid w:val="00A30688"/>
    <w:pPr>
      <w:autoSpaceDE w:val="0"/>
      <w:autoSpaceDN w:val="0"/>
      <w:adjustRightInd w:val="0"/>
      <w:spacing w:after="0" w:line="240" w:lineRule="auto"/>
    </w:pPr>
    <w:rPr>
      <w:rFonts w:ascii="Cambria" w:hAnsi="Cambria" w:cs="Cambria"/>
      <w:color w:val="000000"/>
      <w:sz w:val="24"/>
      <w:szCs w:val="24"/>
    </w:rPr>
  </w:style>
  <w:style w:type="character" w:styleId="CommentReference">
    <w:name w:val="annotation reference"/>
    <w:basedOn w:val="DefaultParagraphFont"/>
    <w:uiPriority w:val="99"/>
    <w:semiHidden/>
    <w:unhideWhenUsed/>
    <w:rsid w:val="002D06DB"/>
    <w:rPr>
      <w:sz w:val="16"/>
      <w:szCs w:val="16"/>
    </w:rPr>
  </w:style>
  <w:style w:type="paragraph" w:styleId="CommentText">
    <w:name w:val="annotation text"/>
    <w:basedOn w:val="Normal"/>
    <w:link w:val="CommentTextChar"/>
    <w:uiPriority w:val="99"/>
    <w:semiHidden/>
    <w:unhideWhenUsed/>
    <w:rsid w:val="002D06DB"/>
    <w:pPr>
      <w:spacing w:line="240" w:lineRule="auto"/>
    </w:pPr>
    <w:rPr>
      <w:sz w:val="20"/>
      <w:szCs w:val="20"/>
    </w:rPr>
  </w:style>
  <w:style w:type="character" w:customStyle="1" w:styleId="CommentTextChar">
    <w:name w:val="Comment Text Char"/>
    <w:basedOn w:val="DefaultParagraphFont"/>
    <w:link w:val="CommentText"/>
    <w:uiPriority w:val="99"/>
    <w:semiHidden/>
    <w:rsid w:val="002D06DB"/>
    <w:rPr>
      <w:sz w:val="20"/>
      <w:szCs w:val="20"/>
    </w:rPr>
  </w:style>
  <w:style w:type="paragraph" w:styleId="CommentSubject">
    <w:name w:val="annotation subject"/>
    <w:basedOn w:val="CommentText"/>
    <w:next w:val="CommentText"/>
    <w:link w:val="CommentSubjectChar"/>
    <w:uiPriority w:val="99"/>
    <w:semiHidden/>
    <w:unhideWhenUsed/>
    <w:rsid w:val="002D06DB"/>
    <w:rPr>
      <w:b/>
      <w:bCs/>
    </w:rPr>
  </w:style>
  <w:style w:type="character" w:customStyle="1" w:styleId="CommentSubjectChar">
    <w:name w:val="Comment Subject Char"/>
    <w:basedOn w:val="CommentTextChar"/>
    <w:link w:val="CommentSubject"/>
    <w:uiPriority w:val="99"/>
    <w:semiHidden/>
    <w:rsid w:val="002D06DB"/>
    <w:rPr>
      <w:b/>
      <w:bCs/>
      <w:sz w:val="20"/>
      <w:szCs w:val="20"/>
    </w:rPr>
  </w:style>
  <w:style w:type="paragraph" w:styleId="BalloonText">
    <w:name w:val="Balloon Text"/>
    <w:basedOn w:val="Normal"/>
    <w:link w:val="BalloonTextChar"/>
    <w:uiPriority w:val="99"/>
    <w:semiHidden/>
    <w:unhideWhenUsed/>
    <w:rsid w:val="002D06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D06DB"/>
    <w:rPr>
      <w:rFonts w:ascii="Tahoma" w:hAnsi="Tahoma" w:cs="Tahoma"/>
      <w:sz w:val="16"/>
      <w:szCs w:val="16"/>
    </w:rPr>
  </w:style>
  <w:style w:type="paragraph" w:styleId="FootnoteText">
    <w:name w:val="footnote text"/>
    <w:basedOn w:val="Normal"/>
    <w:link w:val="FootnoteTextChar"/>
    <w:uiPriority w:val="99"/>
    <w:unhideWhenUsed/>
    <w:rsid w:val="00A81BFC"/>
    <w:pPr>
      <w:spacing w:after="0" w:line="240" w:lineRule="auto"/>
    </w:pPr>
    <w:rPr>
      <w:sz w:val="20"/>
      <w:szCs w:val="20"/>
    </w:rPr>
  </w:style>
  <w:style w:type="character" w:customStyle="1" w:styleId="FootnoteTextChar">
    <w:name w:val="Footnote Text Char"/>
    <w:basedOn w:val="DefaultParagraphFont"/>
    <w:link w:val="FootnoteText"/>
    <w:uiPriority w:val="99"/>
    <w:rsid w:val="00A81BFC"/>
    <w:rPr>
      <w:sz w:val="20"/>
      <w:szCs w:val="20"/>
    </w:rPr>
  </w:style>
  <w:style w:type="character" w:styleId="FootnoteReference">
    <w:name w:val="footnote reference"/>
    <w:basedOn w:val="DefaultParagraphFont"/>
    <w:uiPriority w:val="99"/>
    <w:semiHidden/>
    <w:unhideWhenUsed/>
    <w:rsid w:val="00A81BFC"/>
    <w:rPr>
      <w:vertAlign w:val="superscript"/>
    </w:rPr>
  </w:style>
  <w:style w:type="paragraph" w:styleId="Revision">
    <w:name w:val="Revision"/>
    <w:hidden/>
    <w:uiPriority w:val="99"/>
    <w:semiHidden/>
    <w:rsid w:val="00F54D9D"/>
    <w:pPr>
      <w:spacing w:after="0" w:line="240" w:lineRule="auto"/>
    </w:pPr>
  </w:style>
  <w:style w:type="paragraph" w:styleId="Header">
    <w:name w:val="header"/>
    <w:basedOn w:val="Normal"/>
    <w:link w:val="HeaderChar"/>
    <w:uiPriority w:val="99"/>
    <w:unhideWhenUsed/>
    <w:rsid w:val="00904F27"/>
    <w:pPr>
      <w:tabs>
        <w:tab w:val="center" w:pos="4680"/>
        <w:tab w:val="right" w:pos="9360"/>
      </w:tabs>
      <w:spacing w:after="0" w:line="240" w:lineRule="auto"/>
    </w:pPr>
  </w:style>
  <w:style w:type="character" w:customStyle="1" w:styleId="HeaderChar">
    <w:name w:val="Header Char"/>
    <w:basedOn w:val="DefaultParagraphFont"/>
    <w:link w:val="Header"/>
    <w:uiPriority w:val="99"/>
    <w:rsid w:val="00904F27"/>
  </w:style>
  <w:style w:type="paragraph" w:styleId="Footer">
    <w:name w:val="footer"/>
    <w:basedOn w:val="Normal"/>
    <w:link w:val="FooterChar"/>
    <w:uiPriority w:val="99"/>
    <w:unhideWhenUsed/>
    <w:rsid w:val="00904F27"/>
    <w:pPr>
      <w:tabs>
        <w:tab w:val="center" w:pos="4680"/>
        <w:tab w:val="right" w:pos="9360"/>
      </w:tabs>
      <w:spacing w:after="0" w:line="240" w:lineRule="auto"/>
    </w:pPr>
  </w:style>
  <w:style w:type="character" w:customStyle="1" w:styleId="FooterChar">
    <w:name w:val="Footer Char"/>
    <w:basedOn w:val="DefaultParagraphFont"/>
    <w:link w:val="Footer"/>
    <w:uiPriority w:val="99"/>
    <w:rsid w:val="00904F27"/>
  </w:style>
  <w:style w:type="character" w:styleId="Hyperlink">
    <w:name w:val="Hyperlink"/>
    <w:basedOn w:val="DefaultParagraphFont"/>
    <w:uiPriority w:val="99"/>
    <w:unhideWhenUsed/>
    <w:rsid w:val="00CC01E9"/>
    <w:rPr>
      <w:color w:val="0000FF" w:themeColor="hyperlink"/>
      <w:u w:val="single"/>
    </w:rPr>
  </w:style>
  <w:style w:type="character" w:styleId="FollowedHyperlink">
    <w:name w:val="FollowedHyperlink"/>
    <w:basedOn w:val="DefaultParagraphFont"/>
    <w:uiPriority w:val="99"/>
    <w:semiHidden/>
    <w:unhideWhenUsed/>
    <w:rsid w:val="00BB3A6F"/>
    <w:rPr>
      <w:color w:val="800080" w:themeColor="followedHyperlink"/>
      <w:u w:val="single"/>
    </w:rPr>
  </w:style>
  <w:style w:type="paragraph" w:styleId="NoSpacing">
    <w:name w:val="No Spacing"/>
    <w:link w:val="NoSpacingChar"/>
    <w:uiPriority w:val="1"/>
    <w:qFormat/>
    <w:rsid w:val="00825940"/>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825940"/>
    <w:rPr>
      <w:rFonts w:eastAsiaTheme="minorEastAsia"/>
      <w:lang w:eastAsia="ja-JP"/>
    </w:rPr>
  </w:style>
  <w:style w:type="table" w:styleId="TableGrid">
    <w:name w:val="Table Grid"/>
    <w:basedOn w:val="TableNormal"/>
    <w:uiPriority w:val="59"/>
    <w:rsid w:val="00D51E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E42545"/>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E42545"/>
    <w:pPr>
      <w:spacing w:line="259" w:lineRule="auto"/>
      <w:outlineLvl w:val="9"/>
    </w:pPr>
  </w:style>
  <w:style w:type="character" w:styleId="Strong">
    <w:name w:val="Strong"/>
    <w:basedOn w:val="DefaultParagraphFont"/>
    <w:uiPriority w:val="22"/>
    <w:qFormat/>
    <w:rsid w:val="0044377B"/>
    <w:rPr>
      <w:b/>
      <w:bCs/>
    </w:rPr>
  </w:style>
  <w:style w:type="paragraph" w:styleId="Title">
    <w:name w:val="Title"/>
    <w:basedOn w:val="Normal"/>
    <w:next w:val="Normal"/>
    <w:link w:val="TitleChar"/>
    <w:uiPriority w:val="10"/>
    <w:qFormat/>
    <w:rsid w:val="0044377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4377B"/>
    <w:rPr>
      <w:rFonts w:asciiTheme="majorHAnsi" w:eastAsiaTheme="majorEastAsia" w:hAnsiTheme="majorHAnsi" w:cstheme="majorBidi"/>
      <w:spacing w:val="-10"/>
      <w:kern w:val="28"/>
      <w:sz w:val="56"/>
      <w:szCs w:val="56"/>
    </w:rPr>
  </w:style>
  <w:style w:type="character" w:styleId="SubtleEmphasis">
    <w:name w:val="Subtle Emphasis"/>
    <w:basedOn w:val="DefaultParagraphFont"/>
    <w:uiPriority w:val="19"/>
    <w:qFormat/>
    <w:rsid w:val="0044377B"/>
    <w:rPr>
      <w:i/>
      <w:iCs/>
      <w:color w:val="404040" w:themeColor="text1" w:themeTint="BF"/>
    </w:rPr>
  </w:style>
  <w:style w:type="paragraph" w:styleId="TOC1">
    <w:name w:val="toc 1"/>
    <w:basedOn w:val="Normal"/>
    <w:next w:val="Normal"/>
    <w:autoRedefine/>
    <w:uiPriority w:val="39"/>
    <w:unhideWhenUsed/>
    <w:rsid w:val="0044377B"/>
    <w:pPr>
      <w:spacing w:after="100"/>
    </w:pPr>
  </w:style>
  <w:style w:type="character" w:customStyle="1" w:styleId="Heading2Char">
    <w:name w:val="Heading 2 Char"/>
    <w:basedOn w:val="DefaultParagraphFont"/>
    <w:link w:val="Heading2"/>
    <w:uiPriority w:val="9"/>
    <w:rsid w:val="00414DF9"/>
    <w:rPr>
      <w:rFonts w:asciiTheme="majorHAnsi" w:eastAsiaTheme="majorEastAsia" w:hAnsiTheme="majorHAnsi" w:cstheme="majorBidi"/>
      <w:color w:val="365F91" w:themeColor="accent1" w:themeShade="BF"/>
      <w:sz w:val="26"/>
      <w:szCs w:val="26"/>
    </w:rPr>
  </w:style>
  <w:style w:type="character" w:styleId="IntenseEmphasis">
    <w:name w:val="Intense Emphasis"/>
    <w:basedOn w:val="DefaultParagraphFont"/>
    <w:uiPriority w:val="21"/>
    <w:qFormat/>
    <w:rsid w:val="00320209"/>
    <w:rPr>
      <w:i/>
      <w:iCs/>
      <w:color w:val="4F81BD" w:themeColor="accent1"/>
    </w:rPr>
  </w:style>
  <w:style w:type="paragraph" w:styleId="BodyText">
    <w:name w:val="Body Text"/>
    <w:basedOn w:val="Normal"/>
    <w:link w:val="BodyTextChar"/>
    <w:uiPriority w:val="1"/>
    <w:qFormat/>
    <w:rsid w:val="0003117C"/>
    <w:pPr>
      <w:widowControl w:val="0"/>
      <w:autoSpaceDE w:val="0"/>
      <w:autoSpaceDN w:val="0"/>
      <w:spacing w:after="0" w:line="240" w:lineRule="auto"/>
    </w:pPr>
    <w:rPr>
      <w:rFonts w:ascii="Cambria" w:eastAsia="Cambria" w:hAnsi="Cambria" w:cs="Cambria"/>
      <w:sz w:val="24"/>
      <w:szCs w:val="24"/>
    </w:rPr>
  </w:style>
  <w:style w:type="character" w:customStyle="1" w:styleId="BodyTextChar">
    <w:name w:val="Body Text Char"/>
    <w:basedOn w:val="DefaultParagraphFont"/>
    <w:link w:val="BodyText"/>
    <w:uiPriority w:val="1"/>
    <w:rsid w:val="0003117C"/>
    <w:rPr>
      <w:rFonts w:ascii="Cambria" w:eastAsia="Cambria" w:hAnsi="Cambria" w:cs="Cambria"/>
      <w:sz w:val="24"/>
      <w:szCs w:val="24"/>
    </w:rPr>
  </w:style>
  <w:style w:type="paragraph" w:styleId="TOC2">
    <w:name w:val="toc 2"/>
    <w:basedOn w:val="Normal"/>
    <w:next w:val="Normal"/>
    <w:autoRedefine/>
    <w:uiPriority w:val="39"/>
    <w:unhideWhenUsed/>
    <w:rsid w:val="00EF714D"/>
    <w:pPr>
      <w:tabs>
        <w:tab w:val="left" w:pos="660"/>
        <w:tab w:val="right" w:leader="dot" w:pos="9350"/>
      </w:tabs>
      <w:spacing w:after="100"/>
      <w:ind w:left="660"/>
    </w:pPr>
    <w:rPr>
      <w:b/>
      <w:noProof/>
    </w:rPr>
  </w:style>
  <w:style w:type="paragraph" w:customStyle="1" w:styleId="TableParagraph">
    <w:name w:val="Table Paragraph"/>
    <w:basedOn w:val="Normal"/>
    <w:uiPriority w:val="1"/>
    <w:qFormat/>
    <w:rsid w:val="00EB038A"/>
    <w:pPr>
      <w:autoSpaceDE w:val="0"/>
      <w:autoSpaceDN w:val="0"/>
      <w:adjustRightInd w:val="0"/>
      <w:spacing w:after="0" w:line="240" w:lineRule="auto"/>
      <w:jc w:val="center"/>
    </w:pPr>
    <w:rPr>
      <w:rFonts w:ascii="Calibri" w:hAnsi="Calibri" w:cs="Calibri"/>
      <w:sz w:val="24"/>
      <w:szCs w:val="24"/>
    </w:rPr>
  </w:style>
  <w:style w:type="character" w:customStyle="1" w:styleId="Heading3Char">
    <w:name w:val="Heading 3 Char"/>
    <w:basedOn w:val="DefaultParagraphFont"/>
    <w:link w:val="Heading3"/>
    <w:uiPriority w:val="9"/>
    <w:semiHidden/>
    <w:rsid w:val="009B3C7C"/>
    <w:rPr>
      <w:rFonts w:asciiTheme="majorHAnsi" w:eastAsiaTheme="majorEastAsia" w:hAnsiTheme="majorHAnsi" w:cstheme="majorBidi"/>
      <w:color w:val="243F60" w:themeColor="accent1" w:themeShade="7F"/>
      <w:sz w:val="24"/>
      <w:szCs w:val="24"/>
    </w:rPr>
  </w:style>
  <w:style w:type="table" w:customStyle="1" w:styleId="PlainTable31">
    <w:name w:val="Plain Table 31"/>
    <w:basedOn w:val="TableNormal"/>
    <w:next w:val="PlainTable32"/>
    <w:uiPriority w:val="43"/>
    <w:rsid w:val="00D92C95"/>
    <w:pPr>
      <w:spacing w:before="40" w:after="0" w:line="240" w:lineRule="auto"/>
    </w:pPr>
    <w:rPr>
      <w:rFonts w:eastAsia="Meiryo"/>
      <w:kern w:val="21"/>
      <w:sz w:val="21"/>
      <w:szCs w:val="21"/>
      <w:lang w:eastAsia="ja-JP"/>
      <w14:ligatures w14:val="standard"/>
    </w:rPr>
    <w:tblPr>
      <w:tblStyleRowBandSize w:val="1"/>
      <w:tblStyleColBandSize w:val="1"/>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29" w:type="dxa"/>
        <w:bottom w:w="29" w:type="dxa"/>
      </w:tblCellMar>
    </w:tblPr>
    <w:tcPr>
      <w:shd w:val="clear" w:color="auto" w:fill="F2F2F2"/>
    </w:tcPr>
    <w:tblStylePr w:type="firstRow">
      <w:rPr>
        <w:b/>
        <w:bCs/>
        <w:caps w:val="0"/>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PlainTable32">
    <w:name w:val="Plain Table 32"/>
    <w:basedOn w:val="TableNormal"/>
    <w:uiPriority w:val="43"/>
    <w:rsid w:val="00D92C95"/>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TOC3">
    <w:name w:val="toc 3"/>
    <w:basedOn w:val="Normal"/>
    <w:next w:val="Normal"/>
    <w:autoRedefine/>
    <w:uiPriority w:val="39"/>
    <w:unhideWhenUsed/>
    <w:rsid w:val="00714830"/>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1357112">
      <w:bodyDiv w:val="1"/>
      <w:marLeft w:val="0"/>
      <w:marRight w:val="0"/>
      <w:marTop w:val="0"/>
      <w:marBottom w:val="0"/>
      <w:divBdr>
        <w:top w:val="none" w:sz="0" w:space="0" w:color="auto"/>
        <w:left w:val="none" w:sz="0" w:space="0" w:color="auto"/>
        <w:bottom w:val="none" w:sz="0" w:space="0" w:color="auto"/>
        <w:right w:val="none" w:sz="0" w:space="0" w:color="auto"/>
      </w:divBdr>
    </w:div>
    <w:div w:id="1592393939">
      <w:bodyDiv w:val="1"/>
      <w:marLeft w:val="0"/>
      <w:marRight w:val="0"/>
      <w:marTop w:val="0"/>
      <w:marBottom w:val="0"/>
      <w:divBdr>
        <w:top w:val="none" w:sz="0" w:space="0" w:color="auto"/>
        <w:left w:val="none" w:sz="0" w:space="0" w:color="auto"/>
        <w:bottom w:val="none" w:sz="0" w:space="0" w:color="auto"/>
        <w:right w:val="none" w:sz="0" w:space="0" w:color="auto"/>
      </w:divBdr>
    </w:div>
    <w:div w:id="1941794385">
      <w:bodyDiv w:val="1"/>
      <w:marLeft w:val="0"/>
      <w:marRight w:val="0"/>
      <w:marTop w:val="0"/>
      <w:marBottom w:val="0"/>
      <w:divBdr>
        <w:top w:val="none" w:sz="0" w:space="0" w:color="auto"/>
        <w:left w:val="none" w:sz="0" w:space="0" w:color="auto"/>
        <w:bottom w:val="none" w:sz="0" w:space="0" w:color="auto"/>
        <w:right w:val="none" w:sz="0" w:space="0" w:color="auto"/>
      </w:divBdr>
    </w:div>
    <w:div w:id="20233143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4.png"/><Relationship Id="rId18" Type="http://schemas.openxmlformats.org/officeDocument/2006/relationships/hyperlink" Target="file:///C:\Users\gzito\Desktop\DER%20Information\www.dps.ny.gov" TargetMode="External"/><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7.png"/><Relationship Id="rId25"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5.jpg"/><Relationship Id="rId10" Type="http://schemas.openxmlformats.org/officeDocument/2006/relationships/header" Target="header1.xm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Microsoft_Word_97_-_2003_Document.doc"/><Relationship Id="rId14" Type="http://schemas.openxmlformats.org/officeDocument/2006/relationships/hyperlink" Target="https://www.npcc.org/Standards/commRegStand/Lists/Announcements/DispForm.aspx?ID=37" TargetMode="External"/><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3" Type="http://schemas.openxmlformats.org/officeDocument/2006/relationships/hyperlink" Target="https://www.npcc.org/Compliance/Compliance%20Guidance%20Statements/Forms/Public%20List.aspx" TargetMode="External"/><Relationship Id="rId2" Type="http://schemas.openxmlformats.org/officeDocument/2006/relationships/hyperlink" Target="https://www.npcc.org/Standards/Criteria/A-10-Revised%20Full%20Member%20Approved%20December%2001,%202009%20GJD.pdf" TargetMode="External"/><Relationship Id="rId1" Type="http://schemas.openxmlformats.org/officeDocument/2006/relationships/hyperlink" Target="https://www.nerc.com/FilingsOrders/us/RuleOfProcedureDL/NERC_ROP_Effective_20180309_without_appendices.pdf" TargetMode="External"/><Relationship Id="rId6" Type="http://schemas.openxmlformats.org/officeDocument/2006/relationships/hyperlink" Target="https://obamawhitehouse.archives.gov/the-press-office/2013/02/12/presidential-policy-directive-critical-infrastructure-security-and-resil" TargetMode="External"/><Relationship Id="rId5" Type="http://schemas.openxmlformats.org/officeDocument/2006/relationships/hyperlink" Target="https://www.nerc.com/FilingsOrders/us/NERC%20Filings%20to%20FERC%20DL/Resilience%20Proceeding%20Comments%20%28AD18-7%29.pdf" TargetMode="External"/><Relationship Id="rId4" Type="http://schemas.openxmlformats.org/officeDocument/2006/relationships/hyperlink" Target="https://www.nerc.com/FilingsOrders/us/RuleOfProcedureDL/NERC_ROP_Effective_20180309_without_appendices.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44B1904CE784689B4384224920E0316"/>
        <w:category>
          <w:name w:val="General"/>
          <w:gallery w:val="placeholder"/>
        </w:category>
        <w:types>
          <w:type w:val="bbPlcHdr"/>
        </w:types>
        <w:behaviors>
          <w:behavior w:val="content"/>
        </w:behaviors>
        <w:guid w:val="{184CC49F-623F-4D18-80A1-7AFBC8570F76}"/>
      </w:docPartPr>
      <w:docPartBody>
        <w:p w:rsidR="00946B76" w:rsidRDefault="00946B76" w:rsidP="00946B76">
          <w:pPr>
            <w:pStyle w:val="044B1904CE784689B4384224920E0316"/>
          </w:pPr>
          <w:r>
            <w:t>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eiryo">
    <w:altName w:val="MS Gothic"/>
    <w:charset w:val="80"/>
    <w:family w:val="swiss"/>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6B76"/>
    <w:rsid w:val="00014378"/>
    <w:rsid w:val="00074E3B"/>
    <w:rsid w:val="000A5F01"/>
    <w:rsid w:val="002513B6"/>
    <w:rsid w:val="00530984"/>
    <w:rsid w:val="00563E01"/>
    <w:rsid w:val="007847BD"/>
    <w:rsid w:val="007A0A93"/>
    <w:rsid w:val="0083719F"/>
    <w:rsid w:val="008D79F0"/>
    <w:rsid w:val="00946B76"/>
    <w:rsid w:val="00AD1259"/>
    <w:rsid w:val="00B012AF"/>
    <w:rsid w:val="00B048CE"/>
    <w:rsid w:val="00D7139D"/>
    <w:rsid w:val="00EB3554"/>
    <w:rsid w:val="00EB631D"/>
    <w:rsid w:val="00FF2B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DAF4FA306FA4D19B7B35B0F445DAA16">
    <w:name w:val="ADAF4FA306FA4D19B7B35B0F445DAA16"/>
    <w:rsid w:val="00946B76"/>
  </w:style>
  <w:style w:type="paragraph" w:customStyle="1" w:styleId="2C6DE73F439040E086764DE94FD6B4F4">
    <w:name w:val="2C6DE73F439040E086764DE94FD6B4F4"/>
    <w:rsid w:val="00946B76"/>
  </w:style>
  <w:style w:type="paragraph" w:customStyle="1" w:styleId="84C0C23647084032B3E12E8CCC68DE2B">
    <w:name w:val="84C0C23647084032B3E12E8CCC68DE2B"/>
    <w:rsid w:val="00946B76"/>
  </w:style>
  <w:style w:type="paragraph" w:customStyle="1" w:styleId="6CA28639A87A432F8C5DAC17DF4BB543">
    <w:name w:val="6CA28639A87A432F8C5DAC17DF4BB543"/>
    <w:rsid w:val="00946B76"/>
  </w:style>
  <w:style w:type="paragraph" w:customStyle="1" w:styleId="3F2CAC0F5552466D961CB024A2FE640B">
    <w:name w:val="3F2CAC0F5552466D961CB024A2FE640B"/>
    <w:rsid w:val="00946B76"/>
  </w:style>
  <w:style w:type="paragraph" w:customStyle="1" w:styleId="ABCD8DBE07284B4C922EF15BEBFBB8B0">
    <w:name w:val="ABCD8DBE07284B4C922EF15BEBFBB8B0"/>
    <w:rsid w:val="00946B76"/>
  </w:style>
  <w:style w:type="paragraph" w:customStyle="1" w:styleId="B7BBE0411945471A81681B467EA7DF4E">
    <w:name w:val="B7BBE0411945471A81681B467EA7DF4E"/>
    <w:rsid w:val="00946B76"/>
  </w:style>
  <w:style w:type="paragraph" w:customStyle="1" w:styleId="282783108F054DE58789AE24DA2A8E5A">
    <w:name w:val="282783108F054DE58789AE24DA2A8E5A"/>
    <w:rsid w:val="00946B76"/>
  </w:style>
  <w:style w:type="paragraph" w:customStyle="1" w:styleId="6AA21CCF27D8496EA6D4EBFDD788F2B4">
    <w:name w:val="6AA21CCF27D8496EA6D4EBFDD788F2B4"/>
    <w:rsid w:val="00946B76"/>
  </w:style>
  <w:style w:type="paragraph" w:customStyle="1" w:styleId="00BFBC5C2E574081935F7951E9CE1501">
    <w:name w:val="00BFBC5C2E574081935F7951E9CE1501"/>
    <w:rsid w:val="00946B76"/>
  </w:style>
  <w:style w:type="paragraph" w:customStyle="1" w:styleId="044B1904CE784689B4384224920E0316">
    <w:name w:val="044B1904CE784689B4384224920E0316"/>
    <w:rsid w:val="00946B76"/>
  </w:style>
  <w:style w:type="paragraph" w:customStyle="1" w:styleId="9645DEFDE27643EC9425A3129DB655BA">
    <w:name w:val="9645DEFDE27643EC9425A3129DB655BA"/>
    <w:rsid w:val="00946B7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FD06834-AD6C-43FB-807B-B831F30CF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22</Pages>
  <Words>6638</Words>
  <Characters>37842</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44392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Herbert Schrayshuen</dc:creator>
  <cp:lastModifiedBy>Guy V. Zito</cp:lastModifiedBy>
  <cp:revision>5</cp:revision>
  <cp:lastPrinted>2018-06-04T13:36:00Z</cp:lastPrinted>
  <dcterms:created xsi:type="dcterms:W3CDTF">2019-06-14T10:49:00Z</dcterms:created>
  <dcterms:modified xsi:type="dcterms:W3CDTF">2019-06-14T11:28:00Z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